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1.png" ContentType="image/png"/>
  <Override PartName="/word/media/rId56.png" ContentType="image/png"/>
  <Override PartName="/word/media/rId60.png" ContentType="image/png"/>
  <Override PartName="/word/media/rId19.png" ContentType="image/png"/>
  <Override PartName="/word/media/rId23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prd-phân-hệ-kế-toán"/>
    <w:p>
      <w:pPr>
        <w:pStyle w:val="Heading1"/>
      </w:pPr>
      <w:r>
        <w:t xml:space="preserve">PRD: Phân hệ Kế toán</w:t>
      </w:r>
    </w:p>
    <w:p>
      <w:pPr>
        <w:pStyle w:val="FirstParagraph"/>
      </w:pPr>
      <w:r>
        <w:rPr>
          <w:b/>
          <w:bCs/>
        </w:rPr>
        <w:t xml:space="preserve">Dự án:</w:t>
      </w:r>
      <w:r>
        <w:t xml:space="preserve"> TTransport — Silver Sea</w:t>
      </w:r>
    </w:p>
    <w:p>
      <w:pPr>
        <w:pStyle w:val="BodyText"/>
      </w:pPr>
      <w:r>
        <w:t xml:space="preserve">Tài liệu này ghi lại yêu cầu của chủ sản phẩm về giao diện và quy tắc nghiệp vụ của phân hệ Kế toán, tổng hợp từ </w:t>
      </w:r>
      <w:r>
        <w:rPr>
          <w:rStyle w:val="VerbatimChar"/>
        </w:rPr>
        <w:t xml:space="preserve">5.10 - CHI TIẾT CÁC BỘ PHẬN.docx</w:t>
      </w:r>
      <w:r>
        <w:t xml:space="preserve"> Phần 1 (PHÂN HỆ KẾ TOÁN), nhận ngày 05/10/2026. Toàn bộ ảnh mockup là ảnh gốc trong file nguồn. Tài liệu mô tả </w:t>
      </w:r>
      <w:r>
        <w:rPr>
          <w:b/>
          <w:bCs/>
        </w:rPr>
        <w:t xml:space="preserve">yêu cầu</w:t>
      </w:r>
      <w:r>
        <w:t>, không phải hiện trạng đã triển khai; các mục ghi “đã làm – chưa test” là phần đã dựng trên hệ thống nhưng chưa có rung kiểm thử.</w:t>
      </w:r>
    </w:p>
    <w:p>
      <w:pPr>
        <w:pStyle w:val="BodyText"/>
      </w:pPr>
      <w:r>
        <w:t xml:space="preserve">Vai trò chính: </w:t>
      </w:r>
      <w:r>
        <w:rPr>
          <w:b/>
          <w:bCs/>
        </w:rPr>
        <w:t xml:space="preserve">Kế toán</w:t>
      </w:r>
      <w:r>
        <w:t xml:space="preserve">. Các vai trò liên quan: Lái xe và Ops nhập chi phí, CUS khai báo cược, Điều vận ghi chú vận tải. Quyền luôn theo vai trò và phạm vi được cấp — xem README.md §2. Quan hệ với tài liệu khác: </w:t>
      </w:r>
      <w:r>
        <w:rPr>
          <w:rStyle w:val="VerbatimChar"/>
        </w:rPr>
        <w:t xml:space="preserve">QuyTrinhO2C.docx</w:t>
      </w:r>
      <w:r>
        <w:t xml:space="preserve"> §7 (hồ sơ, bảng kê, lập phiếu thu/chi), </w:t>
      </w:r>
      <w:r>
        <w:rPr>
          <w:rStyle w:val="VerbatimChar"/>
        </w:rPr>
        <w:t xml:space="preserve">OpsVanHanh.docx</w:t>
      </w:r>
      <w:r>
        <w:t xml:space="preserve"> §9 (tạm ứng và hoàn ứng của Ops), </w:t>
      </w:r>
      <w:r>
        <w:rPr>
          <w:rStyle w:val="VerbatimChar"/>
        </w:rPr>
        <w:t xml:space="preserve">BaoGia.docx</w:t>
      </w:r>
      <w:r>
        <w:t xml:space="preserve"> (danh mục phí báo giá).</w:t>
      </w:r>
    </w:p>
    <w:bookmarkStart w:id="9" w:name="mục-tiêu-và-phạm-vi"/>
    <w:p>
      <w:pPr>
        <w:pStyle w:val="Heading2"/>
      </w:pPr>
      <w:r>
        <w:t xml:space="preserve">1. Mục tiêu và phạm vi</w:t>
      </w:r>
    </w:p>
    <w:p>
      <w:pPr>
        <w:pStyle w:val="FirstParagraph"/>
      </w:pPr>
      <w:r>
        <w:t>Kế toán vào phân hệ phải thấy ngay bức tranh tiền — phải thu, phải trả, cược, quỹ, nợ đến hạn — và thao tác được phơi phiếu, công nợ, quỹ, nhân sự tại một nơi, không phải đối chiếu thủ công nhiều màn hình.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Danh mục</w:t>
            </w:r>
          </w:p>
        </w:tc>
        <w:tc>
          <w:tcPr/>
          <w:p>
            <w:pPr>
              <w:pStyle w:val="Compact"/>
            </w:pPr>
            <w:r>
              <w:t xml:space="preserve">Nội dung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Phơi phiếu</w:t>
            </w:r>
          </w:p>
        </w:tc>
        <w:tc>
          <w:tcPr/>
          <w:p>
            <w:pPr>
              <w:pStyle w:val="Compact"/>
            </w:pPr>
            <w:r>
              <w:t xml:space="preserve">Tổng hợp chi phí chuyến, xác nhận/sửa chi phí lái xe và Ops, thu/trả phơi, hóa đơn, cược, tạm 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Công nợ vận tải</w:t>
            </w:r>
          </w:p>
        </w:tc>
        <w:tc>
          <w:tcPr/>
          <w:p>
            <w:pPr>
              <w:pStyle w:val="Compact"/>
            </w:pPr>
            <w:r>
              <w:t xml:space="preserve">Kế hoạch điều động tổng hợp, yêu cầu điều chỉnh cước, xuất Debit, chi tiết phải thu/trả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Quỹ</w:t>
            </w:r>
          </w:p>
        </w:tc>
        <w:tc>
          <w:tcPr/>
          <w:p>
            <w:pPr>
              <w:pStyle w:val="Compact"/>
            </w:pPr>
            <w:r>
              <w:t xml:space="preserve">Quỹ tiền mặt, quỹ công 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Khác</w:t>
            </w:r>
          </w:p>
        </w:tc>
        <w:tc>
          <w:tcPr/>
          <w:p>
            <w:pPr>
              <w:pStyle w:val="Compact"/>
            </w:pPr>
            <w:r>
              <w:t xml:space="preserve">Chấm công, lương, danh sách nhân sự</w:t>
            </w:r>
          </w:p>
        </w:tc>
      </w:tr>
    </w:tbl>
    <w:p>
      <w:pPr>
        <w:pStyle w:val="BodyText"/>
      </w:pPr>
      <w:r>
        <w:t>Ngoài phạm vi: các phân hệ khác (Điều độ, Lái xe, CUS, Quản lý). Chủ sản phẩm sẽ gửi tiếp các phần sau của “5.10 - CHI TIẾT CÁC BỘ PHẬN”; mỗi phân hệ sẽ có tài liệu riêng.</w:t>
      </w:r>
    </w:p>
    <w:bookmarkEnd w:id="9"/>
    <w:bookmarkStart w:id="18" w:name="dashboard-khi-đăng-nhập"/>
    <w:p>
      <w:pPr>
        <w:pStyle w:val="Heading2"/>
      </w:pPr>
      <w:r>
        <w:t xml:space="preserve">2. Dashboard khi đăng nhập</w:t>
      </w:r>
    </w:p>
    <w:bookmarkStart w:id="13" w:name="tổng-quát-về-tiền"/>
    <w:p>
      <w:pPr>
        <w:pStyle w:val="Heading3"/>
      </w:pPr>
      <w:r>
        <w:t xml:space="preserve">2.1 Tổng quát về tiền</w:t>
      </w:r>
    </w:p>
    <w:p>
      <w:pPr>
        <w:pStyle w:val="Compact"/>
        <w:numPr>
          <w:ilvl w:val="0"/>
          <w:numId w:val="1001"/>
        </w:numPr>
      </w:pPr>
      <w:r>
        <w:t xml:space="preserve">Tổng hợp các khách hàng có công nợ: </w:t>
      </w:r>
      <w:r>
        <w:rPr>
          <w:b/>
          <w:bCs/>
        </w:rPr>
        <w:t xml:space="preserve">phải thu / phải trả trong tháng</w:t>
      </w:r>
      <w:r>
        <w:t xml:space="preserve"> theo cả số lượng và số tiền (ảnh 1).</w:t>
      </w:r>
    </w:p>
    <w:p>
      <w:pPr>
        <w:pStyle w:val="Compact"/>
        <w:numPr>
          <w:ilvl w:val="0"/>
          <w:numId w:val="1001"/>
        </w:numPr>
      </w:pPr>
      <w:r>
        <w:t xml:space="preserve">Cột </w:t>
      </w:r>
      <w:r>
        <w:rPr>
          <w:b/>
          <w:bCs/>
        </w:rPr>
        <w:t xml:space="preserve">Số lượng</w:t>
      </w:r>
      <w:r>
        <w:t xml:space="preserve"> nhấp vào mở chi tiết phải thu / phải trả theo từng khách hàng, để có dự kiến nguồn tiền hợp lý.</w:t>
      </w:r>
    </w:p>
    <w:p>
      <w:pPr>
        <w:pStyle w:val="FirstParagraph"/>
      </w:pPr>
      <w:r>
        <w:drawing>
          <wp:inline>
            <wp:extent cx="5334000" cy="2327563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/tmp/prd-510/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tổng-hợp-cược-container"/>
    <w:p>
      <w:pPr>
        <w:pStyle w:val="Heading3"/>
      </w:pPr>
      <w:r>
        <w:t xml:space="preserve">2.2 Tổng hợp cược container</w:t>
      </w:r>
    </w:p>
    <w:p>
      <w:pPr>
        <w:pStyle w:val="Compact"/>
        <w:numPr>
          <w:ilvl w:val="0"/>
          <w:numId w:val="1002"/>
        </w:numPr>
      </w:pPr>
      <w:r>
        <w:t>Biểu đồ cột so sánh theo tuần (nếu có thể): số lượng container, số tiền cược, đã hoàn cược.</w:t>
      </w:r>
    </w:p>
    <w:bookmarkEnd w:id="14"/>
    <w:bookmarkStart w:id="15" w:name="thông-báo-nhanh-về-quỹ"/>
    <w:p>
      <w:pPr>
        <w:pStyle w:val="Heading3"/>
      </w:pPr>
      <w:r>
        <w:t xml:space="preserve">2.3 Thông báo nhanh về Quỹ</w:t>
      </w:r>
    </w:p>
    <w:p>
      <w:pPr>
        <w:pStyle w:val="Compact"/>
        <w:numPr>
          <w:ilvl w:val="0"/>
          <w:numId w:val="1003"/>
        </w:numPr>
      </w:pPr>
      <w:r>
        <w:t>Góc phải màn hình: số tiền còn tại ngày hôm đó (quỹ tiền mặt + quỹ công ty), có dự phòng về dòng tiền.</w:t>
      </w:r>
    </w:p>
    <w:bookmarkEnd w:id="15"/>
    <w:bookmarkStart w:id="16" w:name="cảnh-báo-công-nợ"/>
    <w:p>
      <w:pPr>
        <w:pStyle w:val="Heading3"/>
      </w:pPr>
      <w:r>
        <w:t xml:space="preserve">2.4 Cảnh báo công nợ</w:t>
      </w:r>
    </w:p>
    <w:p>
      <w:pPr>
        <w:pStyle w:val="FirstParagraph"/>
      </w:pPr>
      <w:r>
        <w:t xml:space="preserve">Biểu đồ cột theo các nhóm:</w:t>
      </w:r>
    </w:p>
    <w:p>
      <w:pPr>
        <w:pStyle w:val="Compact"/>
        <w:numPr>
          <w:ilvl w:val="0"/>
          <w:numId w:val="1004"/>
        </w:numPr>
      </w:pPr>
      <w:r>
        <w:t xml:space="preserve">các khoản nợ chuẩn bị đến hạn (trước 5 ngày);</w:t>
      </w:r>
    </w:p>
    <w:p>
      <w:pPr>
        <w:pStyle w:val="Compact"/>
        <w:numPr>
          <w:ilvl w:val="0"/>
          <w:numId w:val="1004"/>
        </w:numPr>
      </w:pPr>
      <w:r>
        <w:t xml:space="preserve">quá hạn 1–10 ngày; quá hạn 30 ngày; quá hạn 60 ngày.</w:t>
      </w:r>
    </w:p>
    <w:bookmarkEnd w:id="16"/>
    <w:bookmarkStart w:id="17" w:name="cảnh-báo-chạy-song-song"/>
    <w:p>
      <w:pPr>
        <w:pStyle w:val="Heading3"/>
      </w:pPr>
      <w:r>
        <w:t xml:space="preserve">2.5 Cảnh báo chạy song song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Container chưa hoàn cược</w:t>
      </w:r>
      <w:r>
        <w:t xml:space="preserve">: số lượng và tổng tiền.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Nợ quá hạn</w:t>
      </w:r>
      <w:r>
        <w:t xml:space="preserve">: số khách và tổng tiền.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Quỹ âm</w:t>
      </w:r>
      <w:r>
        <w:t xml:space="preserve">: chỉ hiện khi </w:t>
      </w:r>
      <w:r>
        <w:rPr>
          <w:b/>
          <w:bCs/>
        </w:rPr>
        <w:t xml:space="preserve">cả hai</w:t>
      </w:r>
      <w:r>
        <w:t xml:space="preserve"> quỹ &lt; 0 — “Cảnh báo Quỹ âm …. (số tiền)đ, kiểm tra lại.”</w:t>
      </w:r>
    </w:p>
    <w:bookmarkEnd w:id="17"/>
    <w:bookmarkEnd w:id="18"/>
    <w:bookmarkStart w:id="50" w:name="danh-mục-phơi-phiếu"/>
    <w:p>
      <w:pPr>
        <w:pStyle w:val="Heading2"/>
      </w:pPr>
      <w:r>
        <w:t xml:space="preserve">3. Danh mục Phơi phiếu</w:t>
      </w:r>
    </w:p>
    <w:bookmarkStart w:id="22" w:name="bảng-tổng-hợp-phơi-phiếu"/>
    <w:p>
      <w:pPr>
        <w:pStyle w:val="Heading3"/>
      </w:pPr>
      <w:r>
        <w:t xml:space="preserve">3.1 Bảng tổng hợp phơi phiếu</w:t>
      </w:r>
    </w:p>
    <w:p>
      <w:pPr>
        <w:pStyle w:val="FirstParagraph"/>
      </w:pPr>
      <w:r>
        <w:rPr>
          <w:b/>
          <w:bCs/>
        </w:rPr>
        <w:t xml:space="preserve">Bảng 1.1.1 — Tổng hợp phơi phiếu</w:t>
      </w:r>
      <w:r>
        <w:t xml:space="preserve"> (ảnh 2):</w:t>
      </w:r>
    </w:p>
    <w:p>
      <w:pPr>
        <w:pStyle w:val="BodyText"/>
      </w:pPr>
      <w:r>
        <w:drawing>
          <wp:inline>
            <wp:extent cx="5334000" cy="107308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tmp/prd-510/media/image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t xml:space="preserve">Cột: thông tin lịch trình, khách hàng, thông số container (bổ sung thêm </w:t>
      </w:r>
      <w:r>
        <w:rPr>
          <w:b/>
          <w:bCs/>
        </w:rPr>
        <w:t xml:space="preserve">trọng tải</w:t>
      </w:r>
      <w:r>
        <w:t xml:space="preserve">), địa điểm nâng/hạ, thông tin xe.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Xe ngoài</w:t>
      </w:r>
      <w:r>
        <w:t xml:space="preserve"> (không phải xe Silver Sea): kế toán mặc định được phép điền/sửa chi phí bằng tay lên hệ thống.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Xe nhà</w:t>
      </w:r>
      <w:r>
        <w:t xml:space="preserve"> (xe Silver): chi phí do lái xe điền lên; kế toán tích xác nhận, từ chối, hoặc sửa chi phí (khi chi phí sai lệch / lái xe điền nhầm).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Trạng thái</w:t>
      </w:r>
      <w:r>
        <w:t>: đã nhận phơi / chưa nhận phơi. Nếu đã nhận phơi, ngày là ngày tích chọn nhận phơi trên desktop.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Ghi chú vận tải</w:t>
      </w:r>
      <w:r>
        <w:t xml:space="preserve">: các ghi chú lưu sẵn từ điều vận và cus note trong quá trình làm hàng. </w:t>
      </w:r>
      <w:r>
        <w:rPr>
          <w:b/>
          <w:bCs/>
        </w:rPr>
        <w:t xml:space="preserve">Ghi chú lái xe</w:t>
      </w:r>
      <w:r>
        <w:t xml:space="preserve">: lái xe ghi chú để kế toán kiểm tra lại.</w:t>
      </w:r>
    </w:p>
    <w:bookmarkEnd w:id="22"/>
    <w:bookmarkStart w:id="29" w:name="bộ-lọc-mini-và-thứ-tự-sắp-xếp"/>
    <w:p>
      <w:pPr>
        <w:pStyle w:val="Heading3"/>
      </w:pPr>
      <w:r>
        <w:t xml:space="preserve">3.2 Bộ lọc mini và thứ tự sắp xếp</w:t>
      </w:r>
    </w:p>
    <w:p>
      <w:pPr>
        <w:pStyle w:val="Compact"/>
        <w:numPr>
          <w:ilvl w:val="0"/>
          <w:numId w:val="1007"/>
        </w:numPr>
      </w:pPr>
      <w:r>
        <w:t xml:space="preserve">Trên cột </w:t>
      </w:r>
      <w:r>
        <w:rPr>
          <w:b/>
          <w:bCs/>
        </w:rPr>
        <w:t xml:space="preserve">Khách hàng</w:t>
      </w:r>
      <w:r>
        <w:t xml:space="preserve"> và </w:t>
      </w:r>
      <w:r>
        <w:rPr>
          <w:b/>
          <w:bCs/>
        </w:rPr>
        <w:t xml:space="preserve">Thông tin xe</w:t>
      </w:r>
      <w:r>
        <w:t xml:space="preserve"> có bộ lọc mini để tìm nhanh tên khách hàng cần thu hoặc nhà xe cần thanh toán (ảnh 3).</w:t>
      </w:r>
    </w:p>
    <w:p>
      <w:pPr>
        <w:pStyle w:val="FirstParagraph"/>
      </w:pPr>
      <w:r>
        <w:drawing>
          <wp:inline>
            <wp:extent cx="4051300" cy="20066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tmp/prd-510/media/image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200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Sắp xếp: ưu tiên các </w:t>
      </w:r>
      <w:r>
        <w:rPr>
          <w:b/>
          <w:bCs/>
        </w:rPr>
        <w:t>số xe trùng nhau, số container trùng nhau xếp thứ tự liên tiếp</w:t>
      </w:r>
      <w:r>
        <w:t xml:space="preserve"> (ảnh 4). Mục đích: với xe nhà tiện kiểm tra, thanh toán tiền đường; với xe ngoài tiện theo dõi phơi phiếu.</w:t>
      </w:r>
    </w:p>
    <w:p>
      <w:pPr>
        <w:pStyle w:val="FirstParagraph"/>
      </w:pPr>
      <w:r>
        <w:drawing>
          <wp:inline>
            <wp:extent cx="5334000" cy="163698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tmp/prd-510/media/image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chi-tiết-chi-phí"/>
    <w:p>
      <w:pPr>
        <w:pStyle w:val="Heading3"/>
      </w:pPr>
      <w:r>
        <w:t xml:space="preserve">3.3 Chi tiết chi phí</w:t>
      </w:r>
    </w:p>
    <w:p>
      <w:pPr>
        <w:pStyle w:val="FirstParagraph"/>
      </w:pPr>
      <w:r>
        <w:t xml:space="preserve">Xem chi tiết thu/trả từ Bảng 1.1.1: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Người thanh toán</w:t>
      </w:r>
      <w:r>
        <w:t>: tự hiển thị tên user người làm thanh toán (ví dụ lái xe/ops làm lệnh nâng/hạ từng ứng). Kế toán có thể thêm để điền chi phí, hoặc tích duyệt các chi phí Ops và Lái xe nhập cho lô hàng.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Chi hộ</w:t>
      </w:r>
      <w:r>
        <w:t xml:space="preserve">: tương tự cơ chế trên.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Tiền đường</w:t>
      </w:r>
      <w:r>
        <w:t>: do lái xe nhập lên hệ thống; kế toán tích xác nhận, hoặc sửa/điều chỉnh để lưu lại và thanh toán.</w:t>
      </w:r>
    </w:p>
    <w:p>
      <w:pPr>
        <w:pStyle w:val="Compact"/>
        <w:numPr>
          <w:ilvl w:val="0"/>
          <w:numId w:val="1009"/>
        </w:numPr>
      </w:pPr>
      <w:r>
        <w:t xml:space="preserve">Lưu ý: bảng tổng hợp phơi phiếu chỉ hiện chi tiết </w:t>
      </w:r>
      <w:r>
        <w:rPr>
          <w:b/>
          <w:bCs/>
        </w:rPr>
        <w:t>từng nguồn chi phí từ đâu đổ về, do ai làm, ai chi, ai nhập hệ thống</w:t>
      </w:r>
      <w:r>
        <w:t>. Tại đây được lập phiếu thu/chi các khoản chi phí.</w:t>
      </w:r>
    </w:p>
    <w:bookmarkEnd w:id="30"/>
    <w:bookmarkStart w:id="34" w:name="tổng-hợp-thutrả-phơi"/>
    <w:p>
      <w:pPr>
        <w:pStyle w:val="Heading3"/>
      </w:pPr>
      <w:r>
        <w:t xml:space="preserve">3.4 Tổng hợp thu/trả phơi</w:t>
      </w:r>
    </w:p>
    <w:p>
      <w:pPr>
        <w:pStyle w:val="Compact"/>
        <w:numPr>
          <w:ilvl w:val="0"/>
          <w:numId w:val="1010"/>
        </w:numPr>
      </w:pPr>
      <w:r>
        <w:t>Bảng con của bảng tổng hợp: tổng hợp các bên đã thu/trả trong thời gian tham chiếu; có thể hiển thị dạng bảng mini phía dưới.</w:t>
      </w:r>
    </w:p>
    <w:p>
      <w:pPr>
        <w:pStyle w:val="Compact"/>
        <w:numPr>
          <w:ilvl w:val="0"/>
          <w:numId w:val="1010"/>
        </w:numPr>
      </w:pPr>
      <w:r>
        <w:t xml:space="preserve">Chỉ thể hiện khách hàng / nhà xe </w:t>
      </w:r>
      <w:r>
        <w:rPr>
          <w:b/>
          <w:bCs/>
        </w:rPr>
        <w:t xml:space="preserve">còn công nợ</w:t>
      </w:r>
      <w:r>
        <w:t xml:space="preserve"> trong thời điểm tham chiếu (từ ngày … đến ngày …); số còn phải thu = 0 mặc định được ẩn đi (ảnh 5).</w:t>
      </w:r>
    </w:p>
    <w:p>
      <w:pPr>
        <w:pStyle w:val="Compact"/>
        <w:numPr>
          <w:ilvl w:val="0"/>
          <w:numId w:val="1010"/>
        </w:numPr>
      </w:pPr>
      <w:r>
        <w:t xml:space="preserve">Phần báo cáo hiện có mặc định theo thời gian tìm kiếm.</w:t>
      </w:r>
    </w:p>
    <w:p>
      <w:pPr>
        <w:pStyle w:val="FirstParagraph"/>
      </w:pPr>
      <w:r>
        <w:drawing>
          <wp:inline>
            <wp:extent cx="5334000" cy="153374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tmp/prd-510/media/image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X698a0117fbe742152b3808fcbe954ff9a9bee33"/>
    <w:p>
      <w:pPr>
        <w:pStyle w:val="Heading3"/>
      </w:pPr>
      <w:r>
        <w:t xml:space="preserve">3.5 Theo dõi hóa đơn kết hợp (đã làm – chưa test)</w:t>
      </w:r>
    </w:p>
    <w:p>
      <w:pPr>
        <w:pStyle w:val="FirstParagraph"/>
      </w:pPr>
      <w:r>
        <w:rPr>
          <w:b/>
          <w:bCs/>
        </w:rPr>
        <w:t xml:space="preserve">Bảng 1.1.2 — Theo dõi hóa đơn kết hợp</w:t>
      </w:r>
      <w:r>
        <w:t xml:space="preserve"> (ảnh 6):</w:t>
      </w:r>
    </w:p>
    <w:p>
      <w:pPr>
        <w:pStyle w:val="BodyText"/>
      </w:pPr>
      <w:r>
        <w:drawing>
          <wp:inline>
            <wp:extent cx="5334000" cy="6709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tmp/prd-510/media/image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0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theo-dõi-hoàn-cược-đã-làm-chưa-test"/>
    <w:p>
      <w:pPr>
        <w:pStyle w:val="Heading3"/>
      </w:pPr>
      <w:r>
        <w:t xml:space="preserve">3.6 Theo dõi hoàn cược (đã làm – chưa test)</w:t>
      </w:r>
    </w:p>
    <w:p>
      <w:pPr>
        <w:pStyle w:val="FirstParagraph"/>
      </w:pPr>
      <w:r>
        <w:rPr>
          <w:b/>
          <w:bCs/>
        </w:rPr>
        <w:t xml:space="preserve">Bảng 1.1.3 — Theo dõi hoàn cược</w:t>
      </w:r>
      <w:r>
        <w:t xml:space="preserve"> (ảnh 7):</w:t>
      </w:r>
    </w:p>
    <w:p>
      <w:pPr>
        <w:pStyle w:val="BodyText"/>
      </w:pPr>
      <w:r>
        <w:drawing>
          <wp:inline>
            <wp:extent cx="5334000" cy="70917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tmp/prd-510/media/image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9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Quy tắc:</w:t>
      </w:r>
    </w:p>
    <w:p>
      <w:pPr>
        <w:pStyle w:val="Compact"/>
        <w:numPr>
          <w:ilvl w:val="0"/>
          <w:numId w:val="1011"/>
        </w:numPr>
      </w:pPr>
      <w:r>
        <w:t xml:space="preserve">Khi CUS nhập liệu tích </w:t>
      </w:r>
      <w:r>
        <w:rPr>
          <w:b/>
          <w:bCs/>
        </w:rPr>
        <w:t xml:space="preserve">có cược</w:t>
      </w:r>
      <w:r>
        <w:t xml:space="preserve"> và điền số tiền cược dự kiến, bảng tự động ghi nhận lô cần cược đủ: tên khách hàng / hãng tàu / Bill / số tiền cược. CUS không điền thì kế toán được tự điền tay.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Ngày nộp CV</w:t>
      </w:r>
      <w:r>
        <w:t xml:space="preserve"> (ngày nộp công văn hoàn cược): kế toán điền, chọn qua lịch hoặc điền tay theo mẫu dd/mm/yy.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Ngày dự kiến hoàn cược = ngày nộp CV + 14 ngày</w:t>
      </w:r>
      <w:r>
        <w:t>; vẫn cho chọn lịch hoặc điền tay (một số hãng tàu có thời gian hoàn cược lâu hơn 14 ngày).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Trạng thái</w:t>
      </w:r>
      <w:r>
        <w:t>: mặc định “chưa hoàn cược”. Khi tích “đã hoàn cược”, hệ thống ghi nhận đã thu và đổ tiền về quỹ tài khoản ACB.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Từ ngày – đến ngày</w:t>
      </w:r>
      <w:r>
        <w:t xml:space="preserve"> để chọn thời gian kiểm tra; ngoài lọc, mặc định đẩy những cont chưa hoàn cược lên đầu, theo thứ tự ngày xa nhất → gần nhất.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Tổng</w:t>
      </w:r>
      <w:r>
        <w:t>: tổng số tiền cược trong thời gian chọn hoặc theo trạng thái; có bộ lọc trạng thái đã/chưa hoàn cược.</w:t>
      </w:r>
    </w:p>
    <w:p>
      <w:pPr>
        <w:pStyle w:val="FirstParagraph"/>
      </w:pPr>
      <w:r>
        <w:t xml:space="preserve">Cảnh báo chạy song song tại bảng này: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Ngày cược + 7 ngày</w:t>
      </w:r>
      <w:r>
        <w:t>: nếu chưa ghi nhận ngày nộp công văn, cảnh báo “kiểm tra check cược số lượng: … lô hàng” (số lô đếm theo lọc: có ngày nộp CV và trạng thái chưa hoàn cược). Ví dụ gốc của chủ sản phẩm: ngày 21/09/26 cược lô hàng Khách A — Bill YML123 — hãng tàu YML — trị giá 4.000.000; đến 28/09/26 chưa chọn ngày nộp công văn → hệ thống cảnh báo “kiểm tra check cược số lượng: 01 lô hàng”.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Chưa hoàn cược</w:t>
      </w:r>
      <w:r>
        <w:t xml:space="preserve">: cảnh báo liên tục tổng </w:t>
      </w:r>
      <w:r>
        <w:rPr>
          <w:b/>
          <w:bCs/>
        </w:rPr>
        <w:t xml:space="preserve">Số tiền</w:t>
      </w:r>
      <w:r>
        <w:t xml:space="preserve"> theo trạng thái “chưa hoàn cược”.</w:t>
      </w:r>
    </w:p>
    <w:bookmarkEnd w:id="42"/>
    <w:bookmarkStart w:id="49" w:name="theo-dõi-tạm-ứng"/>
    <w:p>
      <w:pPr>
        <w:pStyle w:val="Heading3"/>
      </w:pPr>
      <w:r>
        <w:t xml:space="preserve">3.7 Theo dõi tạm ứng</w:t>
      </w:r>
    </w:p>
    <w:p>
      <w:pPr>
        <w:pStyle w:val="FirstParagraph"/>
      </w:pPr>
      <w:r>
        <w:rPr>
          <w:b/>
          <w:bCs/>
        </w:rPr>
        <w:t xml:space="preserve">Bảng 1.1.4 — Quản lý tạm ứng</w:t>
      </w:r>
      <w:r>
        <w:t xml:space="preserve"> (ảnh 8) — tạm ứng của Ops, lái xe, …:</w:t>
      </w:r>
    </w:p>
    <w:p>
      <w:pPr>
        <w:pStyle w:val="BodyText"/>
      </w:pPr>
      <w:r>
        <w:drawing>
          <wp:inline>
            <wp:extent cx="5334000" cy="78219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tmp/prd-510/media/image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2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t xml:space="preserve">Bảng để kiểm tra duyệt chi phí của Ops đã nhập lên hệ thống; cột </w:t>
      </w:r>
      <w:r>
        <w:rPr>
          <w:b/>
          <w:bCs/>
        </w:rPr>
        <w:t xml:space="preserve">Ngày duyệt</w:t>
      </w:r>
      <w:r>
        <w:t xml:space="preserve"> tích all hoặc tích từng dòng để xác nhận duyệt.</w:t>
      </w:r>
    </w:p>
    <w:p>
      <w:pPr>
        <w:pStyle w:val="Compact"/>
        <w:numPr>
          <w:ilvl w:val="0"/>
          <w:numId w:val="1013"/>
        </w:numPr>
      </w:pPr>
      <w:r>
        <w:t xml:space="preserve">Sau khi duyệt, trên </w:t>
      </w:r>
      <w:r>
        <w:rPr>
          <w:b/>
          <w:bCs/>
        </w:rPr>
        <w:t xml:space="preserve">Sổ Quỹ</w:t>
      </w:r>
      <w:r>
        <w:t xml:space="preserve"> tại TÀI KHOẢN OPS sẽ hiện số tiền còn lại cuối cùng khớp với số </w:t>
      </w:r>
      <w:r>
        <w:rPr>
          <w:b/>
          <w:bCs/>
        </w:rPr>
        <w:t xml:space="preserve">“Còn phải hoàn ứng”</w:t>
      </w:r>
      <w:r>
        <w:t xml:space="preserve"> ở bảng “báo cáo tổng hợp hoàn ứng”, để kế toán tiện thanh toán hoặc yêu cầu nhân viên hoàn lại tiền tạm ứng làm hàng trong ngày.</w:t>
      </w:r>
    </w:p>
    <w:p>
      <w:pPr>
        <w:pStyle w:val="FirstParagraph"/>
      </w:pPr>
      <w:r>
        <w:rPr>
          <w:b/>
          <w:bCs/>
        </w:rPr>
        <w:t xml:space="preserve">Bảng 1.1.4 — Báo cáo hoàn ứng</w:t>
      </w:r>
      <w:r>
        <w:t xml:space="preserve"> (ảnh 9), để lập phiếu hoàn ứng:</w:t>
      </w:r>
    </w:p>
    <w:p>
      <w:pPr>
        <w:pStyle w:val="BodyText"/>
      </w:pPr>
      <w:r>
        <w:drawing>
          <wp:inline>
            <wp:extent cx="5334000" cy="80598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tmp/prd-510/media/image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5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t xml:space="preserve">Số tiền ĐNTT: theo ngày / theo đợt làm đề nghị.</w:t>
      </w:r>
    </w:p>
    <w:p>
      <w:pPr>
        <w:pStyle w:val="Compact"/>
        <w:numPr>
          <w:ilvl w:val="0"/>
          <w:numId w:val="1014"/>
        </w:numPr>
      </w:pPr>
      <w:r>
        <w:t xml:space="preserve">Số tiền đã ứng: số tiền tạm ứng đầu ngày của Ops.</w:t>
      </w:r>
    </w:p>
    <w:p>
      <w:pPr>
        <w:pStyle w:val="Compact"/>
        <w:numPr>
          <w:ilvl w:val="0"/>
          <w:numId w:val="1014"/>
        </w:numPr>
      </w:pPr>
      <w:r>
        <w:t xml:space="preserve">Số tiền còn lại = Số tiền ĐNTT − Số tiền đã ứng.</w:t>
      </w:r>
    </w:p>
    <w:p>
      <w:pPr>
        <w:pStyle w:val="Compact"/>
        <w:numPr>
          <w:ilvl w:val="0"/>
          <w:numId w:val="1014"/>
        </w:numPr>
      </w:pPr>
      <w:r>
        <w:t>Số tiền dương: công ty thanh toán hoàn ứng; số tiền âm: công ty yêu cầu hoàn trả tạm ứng.</w:t>
      </w:r>
    </w:p>
    <w:bookmarkEnd w:id="49"/>
    <w:bookmarkEnd w:id="50"/>
    <w:bookmarkStart w:id="64" w:name="danh-mục-công-nợ-vận-tải"/>
    <w:p>
      <w:pPr>
        <w:pStyle w:val="Heading2"/>
      </w:pPr>
      <w:r>
        <w:t xml:space="preserve">4. Danh mục Công nợ vận tải</w:t>
      </w:r>
    </w:p>
    <w:bookmarkStart w:id="54" w:name="kế-hoạch-điều-động-tổng-hợp"/>
    <w:p>
      <w:pPr>
        <w:pStyle w:val="Heading3"/>
      </w:pPr>
      <w:r>
        <w:t xml:space="preserve">4.1 Kế hoạch điều động tổng hợp</w:t>
      </w:r>
    </w:p>
    <w:p>
      <w:pPr>
        <w:pStyle w:val="FirstParagraph"/>
      </w:pPr>
      <w:r>
        <w:rPr>
          <w:b/>
          <w:bCs/>
        </w:rPr>
        <w:t xml:space="preserve">Bảng 1.2.1 — Kế hoạch tổng hợp</w:t>
      </w:r>
      <w:r>
        <w:t xml:space="preserve"> (ảnh 10):</w:t>
      </w:r>
    </w:p>
    <w:p>
      <w:pPr>
        <w:pStyle w:val="BodyText"/>
      </w:pPr>
      <w:r>
        <w:drawing>
          <wp:inline>
            <wp:extent cx="5334000" cy="65256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tmp/prd-510/media/image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2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Từ ngày – đến ngày</w:t>
      </w:r>
      <w:r>
        <w:t xml:space="preserve">: lọc thời gian muốn kiểm tra.</w:t>
      </w:r>
    </w:p>
    <w:p>
      <w:pPr>
        <w:pStyle w:val="Compact"/>
        <w:numPr>
          <w:ilvl w:val="0"/>
          <w:numId w:val="1015"/>
        </w:numPr>
      </w:pPr>
      <w:r>
        <w:t xml:space="preserve">Bộ lọc “mini” trên cột </w:t>
      </w:r>
      <w:r>
        <w:rPr>
          <w:b/>
          <w:bCs/>
        </w:rPr>
        <w:t xml:space="preserve">Thông tin lô hàng</w:t>
      </w:r>
      <w:r>
        <w:t xml:space="preserve"> và </w:t>
      </w:r>
      <w:r>
        <w:rPr>
          <w:b/>
          <w:bCs/>
        </w:rPr>
        <w:t xml:space="preserve">Phân xe</w:t>
      </w:r>
      <w:r>
        <w:t>: cho phép tìm tên khách hàng, tên nhà xe. Khi tới kỳ chốt công nợ, lọc của bên nào bấm chọn bên đó.</w:t>
      </w:r>
    </w:p>
    <w:bookmarkEnd w:id="54"/>
    <w:bookmarkStart w:id="55" w:name="gửi-yêu-cầu-điều-chỉnh-cước"/>
    <w:p>
      <w:pPr>
        <w:pStyle w:val="Heading3"/>
      </w:pPr>
      <w:r>
        <w:t xml:space="preserve">4.2 Gửi yêu cầu điều chỉnh cước</w:t>
      </w:r>
    </w:p>
    <w:p>
      <w:pPr>
        <w:pStyle w:val="Compact"/>
        <w:numPr>
          <w:ilvl w:val="0"/>
          <w:numId w:val="1016"/>
        </w:numPr>
      </w:pPr>
      <w:r>
        <w:t xml:space="preserve">Khi kiểm tra thấy chuyến hàng lệch cước: tích vào dòng chuyến hàng, chọn gửi yêu cầu điều chỉnh cước → hệ thống đẩy yêu cầu tới người có quyền “phê duyệt”. Tại thời gian đó </w:t>
      </w:r>
      <w:r>
        <w:rPr>
          <w:b/>
          <w:bCs/>
        </w:rPr>
        <w:t xml:space="preserve">không thể chọn xuất Debit lô hàng</w:t>
      </w:r>
      <w:r>
        <w:t xml:space="preserve">.</w:t>
      </w:r>
    </w:p>
    <w:bookmarkEnd w:id="55"/>
    <w:bookmarkStart w:id="59" w:name="xuất-debit"/>
    <w:p>
      <w:pPr>
        <w:pStyle w:val="Heading3"/>
      </w:pPr>
      <w:r>
        <w:t xml:space="preserve">4.3 Xuất Debit</w:t>
      </w:r>
    </w:p>
    <w:p>
      <w:pPr>
        <w:pStyle w:val="FirstParagraph"/>
      </w:pPr>
      <w:r>
        <w:t xml:space="preserve">Ví dụ gốc của chủ sản phẩm — lọc kiểm tra cước phải trả “Nhà xe A”: chọn lọc “Nhà xe A” tại cột Phân xe; nếu cước đã chính xác, tích chọn ALL hoặc một dòng trên tổng số sản lượng kỳ lọc → chọn </w:t>
      </w:r>
      <w:r>
        <w:rPr>
          <w:b/>
          <w:bCs/>
        </w:rPr>
        <w:t xml:space="preserve">Debit</w:t>
      </w:r>
      <w:r>
        <w:t xml:space="preserve">. Hệ thống hiện bảng nhỏ (ảnh 11):</w:t>
      </w:r>
    </w:p>
    <w:p>
      <w:pPr>
        <w:pStyle w:val="BodyText"/>
      </w:pPr>
      <w:r>
        <w:drawing>
          <wp:inline>
            <wp:extent cx="5334000" cy="98961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tmp/prd-510/media/image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7"/>
        </w:numPr>
      </w:pPr>
      <w:r>
        <w:t xml:space="preserve">Từ ngày – đến ngày (theo ngày trên bộ lọc đã lọc).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Lần</w:t>
      </w:r>
      <w:r>
        <w:t xml:space="preserve">: 1, 2, 3… (tự chọn).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Tháng</w:t>
      </w:r>
      <w:r>
        <w:t xml:space="preserve">: 1–12 (tự chọn).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Phải thu / phải trả</w:t>
      </w:r>
      <w:r>
        <w:t>: tích chọn. Với ví dụ “Nhà xe A” tích phải trả → hiện tên “Nhà xe A” với số tiền phải trả.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VAT</w:t>
      </w:r>
      <w:r>
        <w:t>: cho tích chọn 0 / 5 / 8 / 10% — hệ thống tự nhân với số tiền phải trả để hiện số tiền VAT.</w:t>
      </w:r>
    </w:p>
    <w:p>
      <w:pPr>
        <w:pStyle w:val="Compact"/>
        <w:numPr>
          <w:ilvl w:val="0"/>
          <w:numId w:val="1017"/>
        </w:numPr>
      </w:pPr>
      <w:r>
        <w:t xml:space="preserve">Cột </w:t>
      </w:r>
      <w:r>
        <w:rPr>
          <w:b/>
          <w:bCs/>
        </w:rPr>
        <w:t xml:space="preserve">tổng tiền</w:t>
      </w:r>
      <w:r>
        <w:t xml:space="preserve"> = phải trả + VAT = tổng tiền.</w:t>
      </w:r>
    </w:p>
    <w:bookmarkEnd w:id="59"/>
    <w:bookmarkStart w:id="63" w:name="X32293551cf32e309a4e26f895aed0198dfcd886"/>
    <w:p>
      <w:pPr>
        <w:pStyle w:val="Heading3"/>
      </w:pPr>
      <w:r>
        <w:t xml:space="preserve">4.4 Chi tiết phải thu/trả và tổng hợp công nợ tháng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Chi tiết phải thu/trả</w:t>
      </w:r>
      <w:r>
        <w:t xml:space="preserve"> (tìm theo thời gian từ ngày … đến ngày …): bảng tổng hợp sản lượng vận tải của các bên trong tháng, dùng để đối soát nhanh cuối tháng — chốt lại tổng số lượng ncc/vendor phải xử lý trong tháng, tránh xót khách hàng (ảnh 12).</w:t>
      </w:r>
    </w:p>
    <w:p>
      <w:pPr>
        <w:pStyle w:val="FirstParagraph"/>
      </w:pPr>
      <w:r>
        <w:drawing>
          <wp:inline>
            <wp:extent cx="5334000" cy="222026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/tmp/prd-510/media/image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Tổng hợp công nợ phải thu/trả</w:t>
      </w:r>
      <w:r>
        <w:t xml:space="preserve"> theo tháng: tổng số tiền + VAT.</w:t>
      </w:r>
    </w:p>
    <w:bookmarkEnd w:id="63"/>
    <w:bookmarkEnd w:id="64"/>
    <w:bookmarkStart w:id="65" w:name="danh-mục-quỹ"/>
    <w:p>
      <w:pPr>
        <w:pStyle w:val="Heading2"/>
      </w:pPr>
      <w:r>
        <w:t xml:space="preserve">5. Danh mục Quỹ</w:t>
      </w:r>
    </w:p>
    <w:p>
      <w:pPr>
        <w:pStyle w:val="Compact"/>
        <w:numPr>
          <w:ilvl w:val="0"/>
          <w:numId w:val="1020"/>
        </w:numPr>
      </w:pPr>
      <w:r>
        <w:t xml:space="preserve">Quỹ tiền mặt.</w:t>
      </w:r>
    </w:p>
    <w:p>
      <w:pPr>
        <w:pStyle w:val="Compact"/>
        <w:numPr>
          <w:ilvl w:val="0"/>
          <w:numId w:val="1020"/>
        </w:numPr>
      </w:pPr>
      <w:r>
        <w:t xml:space="preserve">Quỹ công ty.</w:t>
      </w:r>
    </w:p>
    <w:p>
      <w:pPr>
        <w:pStyle w:val="FirstParagraph"/>
      </w:pPr>
      <w:r>
        <w:t xml:space="preserve">Dashboard (§2.3) và ghi nhận hoàn cược (§3.6) đọc số tiền từ các quỹ này.</w:t>
      </w:r>
    </w:p>
    <w:bookmarkEnd w:id="65"/>
    <w:bookmarkStart w:id="66" w:name="danh-mục-khác"/>
    <w:p>
      <w:pPr>
        <w:pStyle w:val="Heading2"/>
      </w:pPr>
      <w:r>
        <w:t xml:space="preserve">6. Danh mục Khác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Bảng chấm công</w:t>
      </w:r>
      <w:r>
        <w:t xml:space="preserve">: chia văn phòng / lái xe.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Bảng lương</w:t>
      </w:r>
      <w:r>
        <w:t xml:space="preserve">: chia văn phòng / lái xe.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Danh sách nhân sự</w:t>
      </w:r>
      <w:r>
        <w:t xml:space="preserve">.</w:t>
      </w:r>
    </w:p>
    <w:p>
      <w:pPr>
        <w:pStyle w:val="FirstParagraph"/>
      </w:pPr>
      <w:r>
        <w:t>Hiện trạng: màn hình lương/nhân sự hiện hành đã quản lý theo “Đơn vị phụ trách” (bộ phận) của từng nhân sự; yêu cầu mới của chủ sản phẩm là hiển thị tách văn phòng / lái xe.</w:t>
      </w:r>
    </w:p>
    <w:bookmarkEnd w:id="66"/>
    <w:bookmarkStart w:id="67" w:name="tiêu-chí-chấp-nhận"/>
    <w:p>
      <w:pPr>
        <w:pStyle w:val="Heading2"/>
      </w:pPr>
      <w:r>
        <w:t xml:space="preserve">7. Tiêu chí chấp nhận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Tiêu chí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AC-KT-01</w:t>
            </w:r>
          </w:p>
        </w:tc>
        <w:tc>
          <w:tcPr/>
          <w:p>
            <w:pPr>
              <w:pStyle w:val="Compact"/>
            </w:pPr>
            <w:r>
              <w:t xml:space="preserve">Dashboard tổng quát về tiền hiện phải thu/phải trả trong tháng theo số lượng + số tiền; nhấp số lượng mở chi tiết theo từng khách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AC-KT-02</w:t>
            </w:r>
          </w:p>
        </w:tc>
        <w:tc>
          <w:tcPr/>
          <w:p>
            <w:pPr>
              <w:pStyle w:val="Compact"/>
            </w:pPr>
            <w:r>
              <w:t xml:space="preserve">Biểu đồ cược container so sánh theo tuần: số lượng, số tiền cược, đã hoàn cược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AC-KT-03</w:t>
            </w:r>
          </w:p>
        </w:tc>
        <w:tc>
          <w:tcPr/>
          <w:p>
            <w:pPr>
              <w:pStyle w:val="Compact"/>
            </w:pPr>
            <w:r>
              <w:t xml:space="preserve">Thông báo Quỹ = quỹ tiền mặt + quỹ công ty tại ngày hôm đó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AC-KT-04</w:t>
            </w:r>
          </w:p>
        </w:tc>
        <w:tc>
          <w:tcPr/>
          <w:p>
            <w:pPr>
              <w:pStyle w:val="Compact"/>
            </w:pPr>
            <w:r>
              <w:t xml:space="preserve">Cảnh báo nợ đủ 4 nhóm: trước 5 ngày, quá hạn 1–10, 30, 60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AC-KT-05</w:t>
            </w:r>
          </w:p>
        </w:tc>
        <w:tc>
          <w:tcPr/>
          <w:p>
            <w:pPr>
              <w:pStyle w:val="Compact"/>
            </w:pPr>
            <w:r>
              <w:t xml:space="preserve">Cảnh báo Quỹ âm chỉ hiện khi cả hai quỹ &lt;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AC-KT-06</w:t>
            </w:r>
          </w:p>
        </w:tc>
        <w:tc>
          <w:tcPr/>
          <w:p>
            <w:pPr>
              <w:pStyle w:val="Compact"/>
            </w:pPr>
            <w:r>
              <w:t xml:space="preserve">Xe ngoài: kế toán điền/sửa chi phí trực tiếp; xe nhà: lái xe nhập, kế toán tích xác nhận/từ chối/sửa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AC-KT-07</w:t>
            </w:r>
          </w:p>
        </w:tc>
        <w:tc>
          <w:tcPr/>
          <w:p>
            <w:pPr>
              <w:pStyle w:val="Compact"/>
            </w:pPr>
            <w:r>
              <w:t xml:space="preserve">Bộ lọc mini trên cột khách hàng và thông tin xe; sắp xếp nhóm số xe/số container trùng nhau liên tiếp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AC-KT-08</w:t>
            </w:r>
          </w:p>
        </w:tc>
        <w:tc>
          <w:tcPr/>
          <w:p>
            <w:pPr>
              <w:pStyle w:val="Compact"/>
            </w:pPr>
            <w:r>
              <w:t xml:space="preserve">CUS tích có cược + điền số tiền → dòng hoàn cược tự tạo đủ khách/hãng tàu/Bill/số tiền; thiếu thì kế toán điền tay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AC-KT-09</w:t>
            </w:r>
          </w:p>
        </w:tc>
        <w:tc>
          <w:tcPr/>
          <w:p>
            <w:pPr>
              <w:pStyle w:val="Compact"/>
            </w:pPr>
            <w:r>
              <w:t xml:space="preserve">Ngày dự kiến hoàn cược = ngày nộp CV + 14 ngày, sửa tay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AC-KT-10</w:t>
            </w:r>
          </w:p>
        </w:tc>
        <w:tc>
          <w:tcPr/>
          <w:p>
            <w:pPr>
              <w:pStyle w:val="Compact"/>
            </w:pPr>
            <w:r>
              <w:t xml:space="preserve">Tích đã hoàn cược → ghi nhận đã thu và đổ tiền về quỹ ACB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AC-KT-11</w:t>
            </w:r>
          </w:p>
        </w:tc>
        <w:tc>
          <w:tcPr/>
          <w:p>
            <w:pPr>
              <w:pStyle w:val="Compact"/>
            </w:pPr>
            <w:r>
              <w:t xml:space="preserve">Cảnh báo ngày cược +7 chưa có ngày nộp CV; cảnh báo liên tục tổng tiền chưa hoàn cược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AC-KT-12</w:t>
            </w:r>
          </w:p>
        </w:tc>
        <w:tc>
          <w:tcPr/>
          <w:p>
            <w:pPr>
              <w:pStyle w:val="Compact"/>
            </w:pPr>
            <w:r>
              <w:t>Duyệt tạm ứng xong → Sổ Quỹ tài khoản OPS khớp “Còn phải hoàn ứng”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AC-KT-13</w:t>
            </w:r>
          </w:p>
        </w:tc>
        <w:tc>
          <w:tcPr/>
          <w:p>
            <w:pPr>
              <w:pStyle w:val="Compact"/>
            </w:pPr>
            <w:r>
              <w:t xml:space="preserve">Gửi yêu cầu điều chỉnh cước → trong thời gian chờ không xuất được Debit của dòng đó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AC-KT-14</w:t>
            </w:r>
          </w:p>
        </w:tc>
        <w:tc>
          <w:tcPr/>
          <w:p>
            <w:pPr>
              <w:pStyle w:val="Compact"/>
            </w:pPr>
            <w:r>
              <w:t xml:space="preserve">Hộp Debit: lần, tháng, phải thu/phải trả, VAT 0/5/8/10% tự nhân, tổng = tiền + VAT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AC-KT-15</w:t>
            </w:r>
          </w:p>
        </w:tc>
        <w:tc>
          <w:tcPr/>
          <w:p>
            <w:pPr>
              <w:pStyle w:val="Compact"/>
            </w:pPr>
            <w:r>
              <w:t xml:space="preserve">Tổng hợp thu/trả phơi ẩn mặc định khách có số dư 0; phần báo cáo mặc định theo thời gian tìm kiếm</w:t>
            </w:r>
          </w:p>
        </w:tc>
      </w:tr>
    </w:tbl>
    <w:bookmarkEnd w:id="67"/>
    <w:bookmarkStart w:id="68" w:name="điểm-cần-làm-rõ"/>
    <w:p>
      <w:pPr>
        <w:pStyle w:val="Heading2"/>
      </w:pPr>
      <w:r>
        <w:t xml:space="preserve">8. Điểm cần làm rõ</w:t>
      </w:r>
    </w:p>
    <w:p>
      <w:pPr>
        <w:pStyle w:val="Compact"/>
        <w:numPr>
          <w:ilvl w:val="0"/>
          <w:numId w:val="1022"/>
        </w:numPr>
      </w:pPr>
      <w:r>
        <w:t>File nguồn ghi “chia phân hệ kế toán làm thành 3 mục chính” nhưng liệt kê 4 danh mục (Phơi phiếu / Công nợ vận tải / Quỹ / Khác) — tài liệu này giữ nguyên 4 danh mục.</w:t>
      </w:r>
    </w:p>
    <w:p>
      <w:pPr>
        <w:pStyle w:val="Compact"/>
        <w:numPr>
          <w:ilvl w:val="0"/>
          <w:numId w:val="1022"/>
        </w:numPr>
      </w:pPr>
      <w:r>
        <w:t>Yêu cầu “đẩy yêu cầu tới người có quyền phê duyệt” (§4.2) và bước “duyệt chi phí” tạm ứng/chi phí lái xe (§3.3, §3.7) chạm nguyên tắc không phê duyệt nội bộ ở README.md §2.1. Đây là yêu cầu gốc của chủ sản phẩm nên được ghi nhận; cần chủ sản phẩm xác định vai trò “phê duyệt” và cách đối chiếu với nguyên tắc chung.</w:t>
      </w:r>
    </w:p>
    <w:p>
      <w:pPr>
        <w:pStyle w:val="Compact"/>
        <w:numPr>
          <w:ilvl w:val="0"/>
          <w:numId w:val="1022"/>
        </w:numPr>
      </w:pPr>
      <w:r>
        <w:t xml:space="preserve">Quỹ đích khi tích hoàn cược (§3.6): tài khoản ACB cố định hay cấu hình được?</w:t>
      </w:r>
    </w:p>
    <w:p>
      <w:pPr>
        <w:pStyle w:val="Compact"/>
        <w:numPr>
          <w:ilvl w:val="0"/>
          <w:numId w:val="1022"/>
        </w:numPr>
      </w:pPr>
      <w:r>
        <w:t>Các phân hệ còn lại của “5.10 - CHI TIẾT CÁC BỘ PHẬN” (Điều độ, Lái xe, CUS, …) chưa nhận file nguồn.</w:t>
      </w:r>
    </w:p>
    <w:p>
      <w:pPr>
        <w:pStyle w:val="Compact"/>
        <w:numPr>
          <w:ilvl w:val="0"/>
          <w:numId w:val="1022"/>
        </w:numPr>
      </w:pPr>
      <w:r>
        <w:t>Hai mục “đã làm – chưa test” (§3.5, §3.6) cần rung kiểm thử UI (rung 3) trước khi tuyên bố hoàn thành.</w:t>
      </w:r>
    </w:p>
    <w:p>
      <w:pPr>
        <w:pStyle w:val="Compact"/>
        <w:numPr>
          <w:ilvl w:val="0"/>
          <w:numId w:val="1022"/>
        </w:numPr>
      </w:pPr>
      <w:r>
        <w:t>Trạng thái “nhận phơi” tích trên desktop (§3.1) — cần ánh xạ với trạng thái hiện có của hệ thống.</w:t>
      </w:r>
    </w:p>
    <w:p>
      <w:pPr>
        <w:pStyle w:val="Compact"/>
        <w:numPr>
          <w:ilvl w:val="0"/>
          <w:numId w:val="1022"/>
        </w:numPr>
      </w:pPr>
      <w:r>
        <w:t xml:space="preserve">Tổng hợp thu/trả phơi ẩn khách dư 0 (§3.4): có cần nút bật hiện lại không?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Type="http://schemas.openxmlformats.org/officeDocument/2006/relationships/image" Id="rId10" Target="media/rId10.png"/><Relationship Type="http://schemas.openxmlformats.org/officeDocument/2006/relationships/image" Id="rId51" Target="media/rId51.png"/><Relationship Type="http://schemas.openxmlformats.org/officeDocument/2006/relationships/image" Id="rId56" Target="media/rId56.png"/><Relationship Type="http://schemas.openxmlformats.org/officeDocument/2006/relationships/image" Id="rId60" Target="media/rId60.png"/><Relationship Type="http://schemas.openxmlformats.org/officeDocument/2006/relationships/image" Id="rId19" Target="media/rId19.png"/><Relationship Type="http://schemas.openxmlformats.org/officeDocument/2006/relationships/image" Id="rId23" Target="media/rId23.png"/><Relationship Type="http://schemas.openxmlformats.org/officeDocument/2006/relationships/image" Id="rId26" Target="media/rId26.png"/><Relationship Type="http://schemas.openxmlformats.org/officeDocument/2006/relationships/image" Id="rId31" Target="media/rId31.png"/><Relationship Type="http://schemas.openxmlformats.org/officeDocument/2006/relationships/image" Id="rId35" Target="media/rId35.png"/><Relationship Type="http://schemas.openxmlformats.org/officeDocument/2006/relationships/image" Id="rId39" Target="media/rId39.png"/><Relationship Type="http://schemas.openxmlformats.org/officeDocument/2006/relationships/image" Id="rId43" Target="media/rId43.png"/><Relationship Type="http://schemas.openxmlformats.org/officeDocument/2006/relationships/image" Id="rId46" Target="media/rId46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2026-10-05T12:43:06Z</dcterms:created>
  <dcterms:modified xsi:type="dcterms:W3CDTF">2026-10-05T12:43:06Z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