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yêu-cầu-dữ-liệu-cước-và-lịch-sử-giá"/>
    <w:p>
      <w:pPr>
        <w:pStyle w:val="Heading1"/>
      </w:pPr>
      <w:r>
        <w:t xml:space="preserve">Yêu cầu dữ liệu cước và lịch sử giá</w:t>
      </w:r>
    </w:p>
    <w:p>
      <w:pPr>
        <w:pStyle w:val="FirstParagraph"/>
      </w:pPr>
      <w:r>
        <w:t xml:space="preserve">Tài liệu mô tả dữ liệu cước cần quản lý: nguồn hình thành một mức cước, ngày hiệu lực,</w:t>
      </w:r>
      <w:r>
        <w:t xml:space="preserve"> </w:t>
      </w:r>
      <w:r>
        <w:t xml:space="preserve">cách giải thích số tiền và bảo toàn lịch sử. Xem thêm:</w:t>
      </w:r>
      <w:r>
        <w:t xml:space="preserve"> </w:t>
      </w:r>
      <w:hyperlink r:id="rId9">
        <w:r>
          <w:rPr>
            <w:rStyle w:val="Hyperlink"/>
          </w:rPr>
          <w:t xml:space="preserve">mục lục PRD</w:t>
        </w:r>
      </w:hyperlink>
      <w:r>
        <w:t xml:space="preserve">.</w:t>
      </w:r>
    </w:p>
    <w:bookmarkStart w:id="12" w:name="mục-tiêu-và-người-sử-dụng"/>
    <w:p>
      <w:pPr>
        <w:pStyle w:val="Heading2"/>
      </w:pPr>
      <w:r>
        <w:t xml:space="preserve">1. Mục tiêu và người sử dụng</w:t>
      </w:r>
    </w:p>
    <w:p>
      <w:pPr>
        <w:pStyle w:val="FirstParagraph"/>
      </w:pPr>
      <w:r>
        <w:t xml:space="preserve">Kế toán, CUS và Điều vận cần biết một mức cước được tính từ đâu, áp dụng cho</w:t>
      </w:r>
      <w:r>
        <w:t xml:space="preserve"> </w:t>
      </w:r>
      <w:r>
        <w:t xml:space="preserve">khách/tuyến nào và có hiệu lực từ khi nào. Khi giá dầu hoặc hợp đồng thay đổi,</w:t>
      </w:r>
      <w:r>
        <w:t xml:space="preserve"> </w:t>
      </w:r>
      <w:r>
        <w:t xml:space="preserve">họ vẫn phải giải thích được số tiền đã báo hoặc phát hành trước đó.</w:t>
      </w:r>
    </w:p>
    <w:p>
      <w:pPr>
        <w:pStyle w:val="BodyText"/>
      </w:pPr>
      <w:r>
        <w:t xml:space="preserve">Sản phẩm phải hỗ trợ:</w:t>
      </w:r>
    </w:p>
    <w:p>
      <w:pPr>
        <w:pStyle w:val="Compact"/>
        <w:numPr>
          <w:ilvl w:val="0"/>
          <w:numId w:val="1001"/>
        </w:numPr>
      </w:pPr>
      <w:r>
        <w:t xml:space="preserve">Nhập và tra cứu đúng biểu cước của từng khách hàng, tuyến và loại xe.</w:t>
      </w:r>
    </w:p>
    <w:p>
      <w:pPr>
        <w:pStyle w:val="Compact"/>
        <w:numPr>
          <w:ilvl w:val="0"/>
          <w:numId w:val="1001"/>
        </w:numPr>
      </w:pPr>
      <w:r>
        <w:t xml:space="preserve">Tính giá theo Ngày vận chuyển, độ trễ và điều khoản hợp đồng đã xác định.</w:t>
      </w:r>
    </w:p>
    <w:p>
      <w:pPr>
        <w:pStyle w:val="Compact"/>
        <w:numPr>
          <w:ilvl w:val="0"/>
          <w:numId w:val="1001"/>
        </w:numPr>
      </w:pPr>
      <w:r>
        <w:t xml:space="preserve">Giữ bản cước đã khóa, giá cuối đàm phán và chứng từ đã phát hành tách biệt.</w:t>
      </w:r>
    </w:p>
    <w:p>
      <w:pPr>
        <w:pStyle w:val="Compact"/>
        <w:numPr>
          <w:ilvl w:val="0"/>
          <w:numId w:val="1001"/>
        </w:numPr>
      </w:pPr>
      <w:r>
        <w:t xml:space="preserve">Xem ai thay đổi giá, thay đổi gì, khi nào, vì sao và từ ngày nào có hiệu lực.</w:t>
      </w:r>
    </w:p>
    <w:p>
      <w:pPr>
        <w:pStyle w:val="Compact"/>
        <w:numPr>
          <w:ilvl w:val="0"/>
          <w:numId w:val="1001"/>
        </w:numPr>
      </w:pPr>
      <w:r>
        <w:t xml:space="preserve">Nhận biết dữ liệu còn thiếu; không nhầm ô trống, số 0 và giá minh hoạ.</w:t>
      </w:r>
    </w:p>
    <w:p>
      <w:pPr>
        <w:pStyle w:val="FirstParagraph"/>
      </w:pPr>
      <w:r>
        <w:t xml:space="preserve">Công thức và toàn bộ bảng số Long Minh nằm tại</w:t>
      </w:r>
      <w:r>
        <w:t xml:space="preserve"> </w:t>
      </w:r>
      <w:hyperlink r:id="rId10">
        <w:r>
          <w:rPr>
            <w:rStyle w:val="Hyperlink"/>
          </w:rPr>
          <w:t xml:space="preserve">Quy tắc cước và phụ phí dầu</w:t>
        </w:r>
      </w:hyperlink>
      <w:r>
        <w:t xml:space="preserve">. Quy trình sử dụng nằm tại</w:t>
      </w:r>
      <w:r>
        <w:t xml:space="preserve"> </w:t>
      </w:r>
      <w:hyperlink r:id="rId11">
        <w:r>
          <w:rPr>
            <w:rStyle w:val="Hyperlink"/>
          </w:rPr>
          <w:t xml:space="preserve">Phương án tính cước tự động</w:t>
        </w:r>
      </w:hyperlink>
      <w:r>
        <w:t xml:space="preserve">.</w:t>
      </w:r>
    </w:p>
    <w:bookmarkEnd w:id="12"/>
    <w:bookmarkStart w:id="13" w:name="thông-tin-cần-quản-lý"/>
    <w:p>
      <w:pPr>
        <w:pStyle w:val="Heading2"/>
      </w:pPr>
      <w:r>
        <w:t xml:space="preserve">2. Thông tin cần quản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 thông tin</w:t>
            </w:r>
          </w:p>
        </w:tc>
        <w:tc>
          <w:tcPr/>
          <w:p>
            <w:pPr>
              <w:pStyle w:val="Compact"/>
            </w:pPr>
            <w:r>
              <w:t xml:space="preserve">Người dùng cần biết</w:t>
            </w:r>
          </w:p>
        </w:tc>
        <w:tc>
          <w:tcPr/>
          <w:p>
            <w:pPr>
              <w:pStyle w:val="Compact"/>
            </w:pPr>
            <w:r>
              <w:t xml:space="preserve">Quy tắc sản phẩm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Khách hàng và tuyến</w:t>
            </w:r>
          </w:p>
        </w:tc>
        <w:tc>
          <w:tcPr/>
          <w:p>
            <w:pPr>
              <w:pStyle w:val="Compact"/>
            </w:pPr>
            <w:r>
              <w:t xml:space="preserve">Biểu cước thuộc hợp đồng nào; nhà máy nào thuộc nhóm tuyến nào</w:t>
            </w:r>
          </w:p>
        </w:tc>
        <w:tc>
          <w:tcPr/>
          <w:p>
            <w:pPr>
              <w:pStyle w:val="Compact"/>
            </w:pPr>
            <w:r>
              <w:t xml:space="preserve">Một khách có thể có nhiều mức chia sẻ theo tuyến; không lấy mức của khách/tuyến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xe</w:t>
            </w:r>
          </w:p>
        </w:tc>
        <w:tc>
          <w:tcPr/>
          <w:p>
            <w:pPr>
              <w:pStyle w:val="Compact"/>
            </w:pPr>
            <w:r>
              <w:t xml:space="preserve">Tên loại xe và định mức tương ứng</w:t>
            </w:r>
          </w:p>
        </w:tc>
        <w:tc>
          <w:tcPr/>
          <w:p>
            <w:pPr>
              <w:pStyle w:val="Compact"/>
            </w:pPr>
            <w:r>
              <w:t xml:space="preserve">Dùng cách gọi nhất quán, tránh chọn nhầm CONT20/CONT40 hoặc loại tải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gốc</w:t>
            </w:r>
          </w:p>
        </w:tc>
        <w:tc>
          <w:tcPr/>
          <w:p>
            <w:pPr>
              <w:pStyle w:val="Compact"/>
            </w:pPr>
            <w:r>
              <w:t xml:space="preserve">Giá trước chia sẻ và phụ phí dầu</w:t>
            </w:r>
          </w:p>
        </w:tc>
        <w:tc>
          <w:tcPr/>
          <w:p>
            <w:pPr>
              <w:pStyle w:val="Compact"/>
            </w:pPr>
            <w:r>
              <w:t xml:space="preserve">Theo khách, tuyến, loại xe và ngày hiệu lực; không lấy tổng cước kỳ cũ làm giá gốc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khoản tuyến</w:t>
            </w:r>
          </w:p>
        </w:tc>
        <w:tc>
          <w:tcPr/>
          <w:p>
            <w:pPr>
              <w:pStyle w:val="Compact"/>
            </w:pPr>
            <w:r>
              <w:t xml:space="preserve">% chia sẻ, km một chiều, giá dầu mốc và độ trễ</w:t>
            </w:r>
          </w:p>
        </w:tc>
        <w:tc>
          <w:tcPr/>
          <w:p>
            <w:pPr>
              <w:pStyle w:val="Compact"/>
            </w:pPr>
            <w:r>
              <w:t xml:space="preserve">Theo thỏa thuận của khách/tuyến; Long Minh luôn tính km ×2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mức tính phụ phí</w:t>
            </w:r>
          </w:p>
        </w:tc>
        <w:tc>
          <w:tcPr/>
          <w:p>
            <w:pPr>
              <w:pStyle w:val="Compact"/>
            </w:pPr>
            <w:r>
              <w:t xml:space="preserve">Số lít/km theo loại xe</w:t>
            </w:r>
          </w:p>
        </w:tc>
        <w:tc>
          <w:tcPr/>
          <w:p>
            <w:pPr>
              <w:pStyle w:val="Compact"/>
            </w:pPr>
            <w:r>
              <w:t xml:space="preserve">Phân biệt với lượng dầu thực tế cấp cho xe hoặc chi phí nhiên liệu nội bộ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Kỳ giá dầu</w:t>
            </w:r>
          </w:p>
        </w:tc>
        <w:tc>
          <w:tcPr/>
          <w:p>
            <w:pPr>
              <w:pStyle w:val="Compact"/>
            </w:pPr>
            <w:r>
              <w:t xml:space="preserve">Giá, ngày bắt đầu áp dụng và nguồn công bố</w:t>
            </w:r>
          </w:p>
        </w:tc>
        <w:tc>
          <w:tcPr/>
          <w:p>
            <w:pPr>
              <w:pStyle w:val="Compact"/>
            </w:pPr>
            <w:r>
              <w:t xml:space="preserve">Biết kỳ nào được dùng; giá tương lai chưa có hiệu lực không áp sớm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Ngưỡng điều chỉnh</w:t>
            </w:r>
          </w:p>
        </w:tc>
        <w:tc>
          <w:tcPr/>
          <w:p>
            <w:pPr>
              <w:pStyle w:val="Compact"/>
            </w:pPr>
            <w:r>
              <w:t xml:space="preserve">Dùng ngưỡng % hay số tiền/lít, mức ngưỡng và cách áp dụng</w:t>
            </w:r>
          </w:p>
        </w:tc>
        <w:tc>
          <w:tcPr/>
          <w:p>
            <w:pPr>
              <w:pStyle w:val="Compact"/>
            </w:pPr>
            <w:r>
              <w:t xml:space="preserve">Chỉ dùng khi đủ thỏa thuận; không nhầm chưa điền với không dùng ngưỡng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 cước đã khóa</w:t>
            </w:r>
          </w:p>
        </w:tc>
        <w:tc>
          <w:tcPr/>
          <w:p>
            <w:pPr>
              <w:pStyle w:val="Compact"/>
            </w:pPr>
            <w:r>
              <w:t xml:space="preserve">Giá gốc, điều khoản, định mức, kỳ dầu và kết quả từng thành phần</w:t>
            </w:r>
          </w:p>
        </w:tc>
        <w:tc>
          <w:tcPr/>
          <w:p>
            <w:pPr>
              <w:pStyle w:val="Compact"/>
            </w:pPr>
            <w:r>
              <w:t xml:space="preserve">Giữ đúng các đầu vào đã dùng để giải thích lại số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cuối trên Bảng kê / Debit Note</w:t>
            </w:r>
          </w:p>
        </w:tc>
        <w:tc>
          <w:tcPr/>
          <w:p>
            <w:pPr>
              <w:pStyle w:val="Compact"/>
            </w:pPr>
            <w:r>
              <w:t xml:space="preserve">Giá thực tế đàm phán, lý do và người thay đổi</w:t>
            </w:r>
          </w:p>
        </w:tc>
        <w:tc>
          <w:tcPr/>
          <w:p>
            <w:pPr>
              <w:pStyle w:val="Compact"/>
            </w:pPr>
            <w:r>
              <w:t xml:space="preserve">Không ghi đè phần cước tính theo hợp đồng đã được giữ lại</w:t>
            </w:r>
          </w:p>
        </w:tc>
      </w:tr>
    </w:tbl>
    <w:p>
      <w:pPr>
        <w:pStyle w:val="BodyText"/>
      </w:pPr>
      <w:r>
        <w:t xml:space="preserve">Các giá trị trung gian phải giữ đủ độ chính xác để không đổi kết quả làm tròn</w:t>
      </w:r>
      <w:r>
        <w:t xml:space="preserve"> </w:t>
      </w:r>
      <w:r>
        <w:t xml:space="preserve">cuối. Việc mở lại, xuất bản kê hoặc xem lịch sử phải cho cùng một số tiền; không</w:t>
      </w:r>
      <w:r>
        <w:t xml:space="preserve"> </w:t>
      </w:r>
      <w:r>
        <w:t xml:space="preserve">được lệch một đồng chỉ vì số hiển thị đã được rút gọn.</w:t>
      </w:r>
    </w:p>
    <w:bookmarkEnd w:id="13"/>
    <w:bookmarkStart w:id="14" w:name="dữ-liệu-long-minh-đã-ghi-nhận"/>
    <w:p>
      <w:pPr>
        <w:pStyle w:val="Heading2"/>
      </w:pPr>
      <w:r>
        <w:t xml:space="preserve">3. Dữ liệu Long Minh đã ghi nhận</w:t>
      </w:r>
    </w:p>
    <w:p>
      <w:pPr>
        <w:pStyle w:val="FirstParagraph"/>
      </w:pPr>
      <w:r>
        <w:t xml:space="preserve">Long Minh là một khách hàng có ba nhóm tuyến, không phải ba khách hàng khác nhau: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Tuyến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chia sẻ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Km một chiều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Giá dầu mốc</w:t>
            </w:r>
          </w:p>
        </w:tc>
        <w:tc>
          <w:tcPr/>
          <w:p>
            <w:pPr>
              <w:pStyle w:val="Compact"/>
            </w:pPr>
            <w:r>
              <w:t xml:space="preserve">Độ trễ áp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Hải Phòng–NEWEB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19.270 / 1,08 = 17.842,5926 đ/lít khi hiển thị đến 4 số lẻ</w:t>
            </w:r>
          </w:p>
        </w:tc>
        <w:tc>
          <w:tcPr/>
          <w:p>
            <w:pPr>
              <w:pStyle w:val="Compact"/>
            </w:pPr>
            <w:r>
              <w:t xml:space="preserve">1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Cùng mốc hợp đồng trên</w:t>
            </w:r>
          </w:p>
        </w:tc>
        <w:tc>
          <w:tcPr/>
          <w:p>
            <w:pPr>
              <w:pStyle w:val="Compact"/>
            </w:pPr>
            <w:r>
              <w:t xml:space="preserve">Chưa có số của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SUNRISE+SJ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Cùng mốc hợp đồng trên</w:t>
            </w:r>
          </w:p>
        </w:tc>
        <w:tc>
          <w:tcPr/>
          <w:p>
            <w:pPr>
              <w:pStyle w:val="Compact"/>
            </w:pPr>
            <w:r>
              <w:t xml:space="preserve">Chưa có số của khách</w:t>
            </w:r>
          </w:p>
        </w:tc>
      </w:tr>
    </w:tbl>
    <w:p>
      <w:pPr>
        <w:pStyle w:val="BodyText"/>
      </w:pPr>
      <w:r>
        <w:t xml:space="preserve">Hai kỳ giá trong bảng tham chiếu của khách: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Giá dầu chưa VAT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11/7/2026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21.740 đ/lít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18/7/2026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27.620 đ/lít</w:t>
            </w:r>
          </w:p>
        </w:tc>
      </w:tr>
    </w:tbl>
    <w:p>
      <w:pPr>
        <w:pStyle w:val="BodyText"/>
      </w:pPr>
      <w:r>
        <w:t xml:space="preserve">Đây là giá tham chiếu trong tài liệu nguồn, không phải thông báo giá dầu hiện</w:t>
      </w:r>
      <w:r>
        <w:t xml:space="preserve"> </w:t>
      </w:r>
      <w:r>
        <w:t xml:space="preserve">hành. Ba giá gốc 15T còn thiếu. Không tự lấy 0, giá của loại xe khác hoặc số</w:t>
      </w:r>
      <w:r>
        <w:t xml:space="preserve"> </w:t>
      </w:r>
      <w:r>
        <w:t xml:space="preserve">minh hoạ để điền vào hợp đồng.</w:t>
      </w:r>
    </w:p>
    <w:bookmarkEnd w:id="14"/>
    <w:bookmarkStart w:id="15" w:name="hiệu-lực-và-thao-tác-thay-đổi-giá"/>
    <w:p>
      <w:pPr>
        <w:pStyle w:val="Heading2"/>
      </w:pPr>
      <w:r>
        <w:t xml:space="preserve">4. Hiệu lực và thao tác thay đổi giá</w:t>
      </w:r>
    </w:p>
    <w:p>
      <w:pPr>
        <w:pStyle w:val="Compact"/>
        <w:numPr>
          <w:ilvl w:val="0"/>
          <w:numId w:val="1002"/>
        </w:numPr>
      </w:pPr>
      <w:r>
        <w:t xml:space="preserve">Người có quyền nhập kỳ dầu hoặc điều khoản mới, chọn ngày hiệu lực và ghi</w:t>
      </w:r>
      <w:r>
        <w:t xml:space="preserve"> </w:t>
      </w:r>
      <w:r>
        <w:t xml:space="preserve">nguồn/lý do cần thiết, rồi</w:t>
      </w:r>
      <w:r>
        <w:t xml:space="preserve"> </w:t>
      </w:r>
      <w:r>
        <w:rPr>
          <w:b/>
          <w:bCs/>
        </w:rPr>
        <w:t xml:space="preserve">lưu trực tiếp</w:t>
      </w:r>
      <w:r>
        <w:t xml:space="preserve">. Không có yêu cầu gửi duyệt giá.</w:t>
      </w:r>
    </w:p>
    <w:p>
      <w:pPr>
        <w:pStyle w:val="Compact"/>
        <w:numPr>
          <w:ilvl w:val="0"/>
          <w:numId w:val="1002"/>
        </w:numPr>
      </w:pPr>
      <w:r>
        <w:t xml:space="preserve">Sau lưu, người dùng thấy dữ liệu đã ghi nhận, ai ghi nhận và ngày áp dụng.</w:t>
      </w:r>
      <w:r>
        <w:t xml:space="preserve"> </w:t>
      </w:r>
      <w:r>
        <w:t xml:space="preserve">Phân biệt “đã lưu” với “đang có hiệu lực”; bản tương lai chưa áp cho ngày cũ.</w:t>
      </w:r>
    </w:p>
    <w:p>
      <w:pPr>
        <w:pStyle w:val="Compact"/>
        <w:numPr>
          <w:ilvl w:val="0"/>
          <w:numId w:val="1002"/>
        </w:numPr>
      </w:pPr>
      <w:r>
        <w:t xml:space="preserve">Với một ngày, khách, tuyến và loại xe, kết quả phải rõ ràng. Không để hai mức</w:t>
      </w:r>
      <w:r>
        <w:t xml:space="preserve"> </w:t>
      </w:r>
      <w:r>
        <w:t xml:space="preserve">giá cùng cạnh tranh mà người dùng không biết mức nào được áp.</w:t>
      </w:r>
    </w:p>
    <w:p>
      <w:pPr>
        <w:pStyle w:val="Compact"/>
        <w:numPr>
          <w:ilvl w:val="0"/>
          <w:numId w:val="1002"/>
        </w:numPr>
      </w:pPr>
      <w:r>
        <w:t xml:space="preserve">Sửa một bản đã được dùng không được làm mất nội dung cũ hoặc tự thay số trên</w:t>
      </w:r>
      <w:r>
        <w:t xml:space="preserve"> </w:t>
      </w:r>
      <w:r>
        <w:t xml:space="preserve">chứng từ trước đó. Người dùng xem được bản trước/sau và thời điểm áp dụng.</w:t>
      </w:r>
    </w:p>
    <w:p>
      <w:pPr>
        <w:pStyle w:val="Compact"/>
        <w:numPr>
          <w:ilvl w:val="0"/>
          <w:numId w:val="1002"/>
        </w:numPr>
      </w:pPr>
      <w:r>
        <w:t xml:space="preserve">Nếu có người khác sửa trong lúc biểu mẫu đang mở, giữ nội dung đang nhập và</w:t>
      </w:r>
      <w:r>
        <w:t xml:space="preserve"> </w:t>
      </w:r>
      <w:r>
        <w:t xml:space="preserve">cho đối chiếu trước khi lưu; không âm thầm ghi đè.</w:t>
      </w:r>
    </w:p>
    <w:p>
      <w:pPr>
        <w:pStyle w:val="Compact"/>
        <w:numPr>
          <w:ilvl w:val="0"/>
          <w:numId w:val="1002"/>
        </w:numPr>
      </w:pPr>
      <w:r>
        <w:t xml:space="preserve">Người không có quyền chỉ xem trong phạm vi được cấp. Bỏ phê duyệt nội bộ không</w:t>
      </w:r>
      <w:r>
        <w:t xml:space="preserve"> </w:t>
      </w:r>
      <w:r>
        <w:t xml:space="preserve">mở rộng quyền chỉnh giá hoặc cho phép vượt kỳ đã khóa.</w:t>
      </w:r>
    </w:p>
    <w:bookmarkEnd w:id="15"/>
    <w:bookmarkStart w:id="16" w:name="khóa-cước-và-bảo-toàn-lịch-sử"/>
    <w:p>
      <w:pPr>
        <w:pStyle w:val="Heading2"/>
      </w:pPr>
      <w:r>
        <w:t xml:space="preserve">5. Khóa cước và bảo toàn lịch sử</w:t>
      </w:r>
    </w:p>
    <w:p>
      <w:pPr>
        <w:pStyle w:val="FirstParagraph"/>
      </w:pPr>
      <w:r>
        <w:rPr>
          <w:b/>
          <w:bCs/>
        </w:rPr>
        <w:t xml:space="preserve">Mốc khóa cước:</w:t>
      </w:r>
      <w:r>
        <w:t xml:space="preserve"> </w:t>
      </w:r>
      <w:r>
        <w:t xml:space="preserve">khi CUS/Điều vận nhập Ngày vận chuyển và có đủ đầu vào, sản phẩm</w:t>
      </w:r>
      <w:r>
        <w:t xml:space="preserve"> </w:t>
      </w:r>
      <w:r>
        <w:t xml:space="preserve">xác định cước theo ngày đó và giữ bản cước đã khóa. Lô chưa có ngày hoặc còn thiếu</w:t>
      </w:r>
      <w:r>
        <w:t xml:space="preserve"> </w:t>
      </w:r>
      <w:r>
        <w:t xml:space="preserve">giá vẫn có thể lưu thông tin; phải thể hiện rõ chưa xác định được cước.</w:t>
      </w:r>
    </w:p>
    <w:p>
      <w:pPr>
        <w:pStyle w:val="BodyText"/>
      </w:pPr>
      <w:r>
        <w:rPr>
          <w:b/>
          <w:bCs/>
        </w:rPr>
        <w:t xml:space="preserve">Khi mở kỳ dầu mới:</w:t>
      </w:r>
      <w:r>
        <w:t xml:space="preserve"> </w:t>
      </w:r>
      <w:r>
        <w:t xml:space="preserve">cước đã khóa hoặc đã phát hành không tự đổi. Đây là quyết</w:t>
      </w:r>
      <w:r>
        <w:t xml:space="preserve"> </w:t>
      </w:r>
      <w:r>
        <w:t xml:space="preserve">định không hồi tố của khách hàng.</w:t>
      </w:r>
    </w:p>
    <w:p>
      <w:pPr>
        <w:pStyle w:val="BodyText"/>
      </w:pPr>
      <w:r>
        <w:rPr>
          <w:b/>
          <w:bCs/>
        </w:rPr>
        <w:t xml:space="preserve">Khi đổi Ngày vận chuyển:</w:t>
      </w:r>
      <w:r>
        <w:t xml:space="preserve"> </w:t>
      </w:r>
      <w:r>
        <w:t xml:space="preserve">nếu hồ sơ còn được phép sửa, cho thấy ảnh hưởng đến</w:t>
      </w:r>
      <w:r>
        <w:t xml:space="preserve"> </w:t>
      </w:r>
      <w:r>
        <w:t xml:space="preserve">giá, lưu bản cước kế tiếp và giữ bản cũ. Chứng từ đã phát hành không tự bị thay</w:t>
      </w:r>
      <w:r>
        <w:t xml:space="preserve"> </w:t>
      </w:r>
      <w:r>
        <w:t xml:space="preserve">số theo bản mới; điều chỉnh chứng từ phải là thao tác riêng có quyền và lý do.</w:t>
      </w:r>
    </w:p>
    <w:p>
      <w:pPr>
        <w:pStyle w:val="BodyText"/>
      </w:pPr>
      <w:r>
        <w:rPr>
          <w:b/>
          <w:bCs/>
        </w:rPr>
        <w:t xml:space="preserve">Khi đàm phán giá cuối:</w:t>
      </w:r>
      <w:r>
        <w:t xml:space="preserve"> </w:t>
      </w:r>
      <w:r>
        <w:t xml:space="preserve">Kế toán có quyền nhập trực tiếp giá cuối hoặc khoản</w:t>
      </w:r>
      <w:r>
        <w:t xml:space="preserve"> </w:t>
      </w:r>
      <w:r>
        <w:t xml:space="preserve">giảm giá theo thỏa thuận, giữ cước hợp đồng để so sánh. Nếu giá cuối khác giá</w:t>
      </w:r>
      <w:r>
        <w:t xml:space="preserve"> </w:t>
      </w:r>
      <w:r>
        <w:t xml:space="preserve">tính tự động, lý do phải có nội dung. Không chờ người khác duyệt và không dùng</w:t>
      </w:r>
      <w:r>
        <w:t xml:space="preserve"> </w:t>
      </w:r>
      <w:r>
        <w:t xml:space="preserve">nhãn “đã duyệt” thay cho kết quả lưu.</w:t>
      </w:r>
    </w:p>
    <w:p>
      <w:pPr>
        <w:pStyle w:val="BodyText"/>
      </w:pPr>
      <w:r>
        <w:rPr>
          <w:b/>
          <w:bCs/>
        </w:rPr>
        <w:t xml:space="preserve">Với dữ liệu cũ:</w:t>
      </w:r>
      <w:r>
        <w:t xml:space="preserve"> </w:t>
      </w:r>
      <w:r>
        <w:t xml:space="preserve">giữ số và căn cứ ban đầu; thiếu nguồn phải được ghi rõ. Không</w:t>
      </w:r>
      <w:r>
        <w:t xml:space="preserve"> </w:t>
      </w:r>
      <w:r>
        <w:t xml:space="preserve">suy đoán một kỳ dầu để tính lại tiền cũ, không tự phát hành thêm chứng từ hoặc</w:t>
      </w:r>
      <w:r>
        <w:t xml:space="preserve"> </w:t>
      </w:r>
      <w:r>
        <w:t xml:space="preserve">ghi thêm khoản nợ khi bổ sung lịch sử.</w:t>
      </w:r>
    </w:p>
    <w:bookmarkEnd w:id="16"/>
    <w:bookmarkStart w:id="17" w:name="yêu-cầu-sử-dụng-và-phản-hồi"/>
    <w:p>
      <w:pPr>
        <w:pStyle w:val="Heading2"/>
      </w:pPr>
      <w:r>
        <w:t xml:space="preserve">6. Yêu cầu sử dụng và phản hồi</w:t>
      </w:r>
    </w:p>
    <w:p>
      <w:pPr>
        <w:pStyle w:val="Compact"/>
        <w:numPr>
          <w:ilvl w:val="0"/>
          <w:numId w:val="1003"/>
        </w:numPr>
      </w:pPr>
      <w:r>
        <w:t xml:space="preserve">Có thể tìm theo khách, tuyến, loại xe và ngày hiệu lực; xem được mức đang áp</w:t>
      </w:r>
      <w:r>
        <w:t xml:space="preserve"> </w:t>
      </w:r>
      <w:r>
        <w:t xml:space="preserve">cùng lịch sử liên quan mà không phải mở nhiều màn hình.</w:t>
      </w:r>
    </w:p>
    <w:p>
      <w:pPr>
        <w:pStyle w:val="Compact"/>
        <w:numPr>
          <w:ilvl w:val="0"/>
          <w:numId w:val="1003"/>
        </w:numPr>
      </w:pPr>
      <w:r>
        <w:t xml:space="preserve">Dữ liệu chính và thao tác lưu ở gần nhau. Bảng giá gọn, so sánh được trên máy</w:t>
      </w:r>
      <w:r>
        <w:t xml:space="preserve"> </w:t>
      </w:r>
      <w:r>
        <w:t xml:space="preserve">tính; số tiền và nhãn đọc đủ trên điện thoại/máy tính bảng. Tránh thẻ lồng nhau</w:t>
      </w:r>
      <w:r>
        <w:t xml:space="preserve"> </w:t>
      </w:r>
      <w:r>
        <w:t xml:space="preserve">và khối thông tin phụ quá dài trước bảng giá.</w:t>
      </w:r>
    </w:p>
    <w:p>
      <w:pPr>
        <w:pStyle w:val="Compact"/>
        <w:numPr>
          <w:ilvl w:val="0"/>
          <w:numId w:val="1003"/>
        </w:numPr>
      </w:pPr>
      <w:r>
        <w:t xml:space="preserve">Lỗi nêu rõ trường cần sửa: thiếu giá, trùng hiệu lực, giá không hợp lệ, không</w:t>
      </w:r>
      <w:r>
        <w:t xml:space="preserve"> </w:t>
      </w:r>
      <w:r>
        <w:t xml:space="preserve">có quyền hoặc hồ sơ đã khóa. Không dùng cùng một thông báo chung cho mọi lỗi.</w:t>
      </w:r>
    </w:p>
    <w:p>
      <w:pPr>
        <w:pStyle w:val="Compact"/>
        <w:numPr>
          <w:ilvl w:val="0"/>
          <w:numId w:val="1003"/>
        </w:numPr>
      </w:pPr>
      <w:r>
        <w:t xml:space="preserve">Bấm lưu lại không tạo hai bản giá hoặc hai khoản tiền. Nếu mất kết nối sau</w:t>
      </w:r>
      <w:r>
        <w:t xml:space="preserve"> </w:t>
      </w:r>
      <w:r>
        <w:t xml:space="preserve">khi gửi và chưa rõ đã lưu hay chưa, người dùng phải kiểm tra được kết quả</w:t>
      </w:r>
      <w:r>
        <w:t xml:space="preserve"> </w:t>
      </w:r>
      <w:r>
        <w:t xml:space="preserve">trước khi thử lại; không tự gửi lại khi có mạng.</w:t>
      </w:r>
    </w:p>
    <w:p>
      <w:pPr>
        <w:pStyle w:val="Compact"/>
        <w:numPr>
          <w:ilvl w:val="0"/>
          <w:numId w:val="1003"/>
        </w:numPr>
      </w:pPr>
      <w:r>
        <w:t xml:space="preserve">Khi chưa gửi được, báo chưa lưu và giữ phần đang nhập trên màn hình hiện tại.</w:t>
      </w:r>
      <w:r>
        <w:t xml:space="preserve"> </w:t>
      </w:r>
      <w:r>
        <w:t xml:space="preserve">Không hứa lưu ngoại tuyến hoặc tự đồng bộ sau.</w:t>
      </w:r>
    </w:p>
    <w:bookmarkEnd w:id="17"/>
    <w:bookmarkStart w:id="18" w:name="tiêu-chí-chấp-nhận"/>
    <w:p>
      <w:pPr>
        <w:pStyle w:val="Heading2"/>
      </w:pPr>
      <w:r>
        <w:t xml:space="preserve">7. Tiêu chí chấp nhận</w:t>
      </w:r>
    </w:p>
    <w:p>
      <w:pPr>
        <w:pStyle w:val="Compact"/>
        <w:numPr>
          <w:ilvl w:val="0"/>
          <w:numId w:val="1004"/>
        </w:numPr>
      </w:pPr>
      <w:r>
        <w:t xml:space="preserve">Chọn đúng khách/tuyến/loại xe/Ngày vận chuyển cho ra giá theo các điều khoản</w:t>
      </w:r>
      <w:r>
        <w:t xml:space="preserve"> </w:t>
      </w:r>
      <w:r>
        <w:t xml:space="preserve">có hiệu lực, giải thích đủ từng thành phần và nguồn đã dùng.</w:t>
      </w:r>
    </w:p>
    <w:p>
      <w:pPr>
        <w:pStyle w:val="Compact"/>
        <w:numPr>
          <w:ilvl w:val="0"/>
          <w:numId w:val="1004"/>
        </w:numPr>
      </w:pPr>
      <w:r>
        <w:t xml:space="preserve">Mở lại bản cước hoặc chứng từ cũ sau khi có giá dầu mới vẫn thấy số cũ; không</w:t>
      </w:r>
      <w:r>
        <w:t xml:space="preserve"> </w:t>
      </w:r>
      <w:r>
        <w:t xml:space="preserve">xuất hiện thay đổi tiền ngoài thao tác được phép.</w:t>
      </w:r>
    </w:p>
    <w:p>
      <w:pPr>
        <w:pStyle w:val="Compact"/>
        <w:numPr>
          <w:ilvl w:val="0"/>
          <w:numId w:val="1004"/>
        </w:numPr>
      </w:pPr>
      <w:r>
        <w:t xml:space="preserve">Đổi ngày hợp lệ tạo bản cước tiếp theo, xem được bản trước; kỳ/chứng từ đã</w:t>
      </w:r>
      <w:r>
        <w:t xml:space="preserve"> </w:t>
      </w:r>
      <w:r>
        <w:t xml:space="preserve">khóa được bảo vệ và lý do không sửa được hiển thị rõ.</w:t>
      </w:r>
    </w:p>
    <w:p>
      <w:pPr>
        <w:pStyle w:val="Compact"/>
        <w:numPr>
          <w:ilvl w:val="0"/>
          <w:numId w:val="1004"/>
        </w:numPr>
      </w:pPr>
      <w:r>
        <w:t xml:space="preserve">Kế toán có quyền lưu giá cuối trực tiếp với lý do, không thay mất giá hợp</w:t>
      </w:r>
      <w:r>
        <w:t xml:space="preserve"> </w:t>
      </w:r>
      <w:r>
        <w:t xml:space="preserve">đồng. Người ngoài phạm vi không đọc hoặc sửa được thông tin đó.</w:t>
      </w:r>
    </w:p>
    <w:p>
      <w:pPr>
        <w:pStyle w:val="Compact"/>
        <w:numPr>
          <w:ilvl w:val="0"/>
          <w:numId w:val="1004"/>
        </w:numPr>
      </w:pPr>
      <w:r>
        <w:t xml:space="preserve">Thiếu giá gốc 15T hoặc lag/ngưỡng/kỳ dầu không tạo giá tự động giả; người dùng</w:t>
      </w:r>
      <w:r>
        <w:t xml:space="preserve"> </w:t>
      </w:r>
      <w:r>
        <w:t xml:space="preserve">biết cần bổ sung gì hoặc nhập giá có căn cứ trong phạm vi được cấp.</w:t>
      </w:r>
    </w:p>
    <w:p>
      <w:pPr>
        <w:pStyle w:val="Compact"/>
        <w:numPr>
          <w:ilvl w:val="0"/>
          <w:numId w:val="1004"/>
        </w:numPr>
      </w:pPr>
      <w:r>
        <w:t xml:space="preserve">Số tiền không thay đổi vì làm tròn đầu vào khi xem lại; bấm lặp, mở hai cửa</w:t>
      </w:r>
      <w:r>
        <w:t xml:space="preserve"> </w:t>
      </w:r>
      <w:r>
        <w:t xml:space="preserve">sổ sửa hoặc mất kết nối không làm mất lịch sử hay tạo tiền trùng.</w:t>
      </w:r>
    </w:p>
    <w:p>
      <w:pPr>
        <w:pStyle w:val="Compact"/>
        <w:numPr>
          <w:ilvl w:val="0"/>
          <w:numId w:val="1004"/>
        </w:numPr>
      </w:pPr>
      <w:r>
        <w:t xml:space="preserve">Các thao tác trên dùng được trên điện thoại, máy tính bảng và máy tính với</w:t>
      </w:r>
      <w:r>
        <w:t xml:space="preserve"> </w:t>
      </w:r>
      <w:r>
        <w:t xml:space="preserve">dữ liệu dài, nhiều dòng, rỗng và lỗi; nhãn, số và nút không bị che/cắt.</w:t>
      </w:r>
    </w:p>
    <w:bookmarkEnd w:id="18"/>
    <w:bookmarkStart w:id="19" w:name="đầu-vào-nghiệp-vụ-còn-mở"/>
    <w:p>
      <w:pPr>
        <w:pStyle w:val="Heading2"/>
      </w:pPr>
      <w:r>
        <w:t xml:space="preserve">8. Đầu vào nghiệp vụ còn mở</w:t>
      </w:r>
    </w:p>
    <w:p>
      <w:pPr>
        <w:pStyle w:val="Compact"/>
        <w:numPr>
          <w:ilvl w:val="0"/>
          <w:numId w:val="1005"/>
        </w:numPr>
      </w:pPr>
      <w:r>
        <w:t xml:space="preserve">Giá gốc 15T của ba tuyến; lag ASKEY và SUNRISE+SJ.</w:t>
      </w:r>
    </w:p>
    <w:p>
      <w:pPr>
        <w:pStyle w:val="Compact"/>
        <w:numPr>
          <w:ilvl w:val="0"/>
          <w:numId w:val="1005"/>
        </w:numPr>
      </w:pPr>
      <w:r>
        <w:t xml:space="preserve">Mức ngưỡng % hoặc số tiền/lít theo hợp đồng; đúng tại ngưỡng áp hay chưa áp;</w:t>
      </w:r>
      <w:r>
        <w:t xml:space="preserve"> </w:t>
      </w:r>
      <w:r>
        <w:t xml:space="preserve">lấy giá kỳ liền trước hay mốc đã áp, giữ mốc thế nào qua nhiều kỳ và khi bắt</w:t>
      </w:r>
      <w:r>
        <w:t xml:space="preserve"> </w:t>
      </w:r>
      <w:r>
        <w:t xml:space="preserve">đầu hợp đồng. Phải phân biệt chưa biết với đã thỏa thuận không dùng ngưỡng.</w:t>
      </w:r>
    </w:p>
    <w:p>
      <w:pPr>
        <w:pStyle w:val="Compact"/>
        <w:numPr>
          <w:ilvl w:val="0"/>
          <w:numId w:val="1005"/>
        </w:numPr>
      </w:pPr>
      <w:r>
        <w:t xml:space="preserve">Biểu cước của khách ngoài Long Minh; nguồn giá dầu dùng chung hay riêng; lịch</w:t>
      </w:r>
      <w:r>
        <w:t xml:space="preserve"> </w:t>
      </w:r>
      <w:r>
        <w:t xml:space="preserve">áp giá và cách quy đổi VAT cho các kỳ tương lai.</w:t>
      </w:r>
    </w:p>
    <w:p>
      <w:pPr>
        <w:pStyle w:val="FirstParagraph"/>
      </w:pPr>
      <w:r>
        <w:t xml:space="preserve">Các đầu vào này không được tự điền từ ví dụ và không làm phát sinh quy trình phê</w:t>
      </w:r>
      <w:r>
        <w:t xml:space="preserve"> </w:t>
      </w:r>
      <w:r>
        <w:t xml:space="preserve">duyệt nội bộ.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uocPhiPhuPhiDau.docx" TargetMode="External" /><Relationship Type="http://schemas.openxmlformats.org/officeDocument/2006/relationships/hyperlink" Id="rId11" Target="PhuongAnTinhCuocTuDong.docx" TargetMode="External" /><Relationship Type="http://schemas.openxmlformats.org/officeDocument/2006/relationships/hyperlink" Id="rId9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uocPhiPhuPhiDau.docx" TargetMode="External" /><Relationship Type="http://schemas.openxmlformats.org/officeDocument/2006/relationships/hyperlink" Id="rId11" Target="PhuongAnTinhCuocTuDong.docx" TargetMode="External" /><Relationship Type="http://schemas.openxmlformats.org/officeDocument/2006/relationships/hyperlink" Id="rId9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2026-10-05T12:39:42Z</dcterms:created>
  <dcterms:modified xsi:type="dcterms:W3CDTF">2026-10-05T12:39:42Z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