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3"/>
          <w:szCs w:val="23"/>
        </w:rPr>
        <w:t xml:space="preserve">PHÂN HỆ 6 — QUẢN LÝ CÔNG NỢ PHẢI TRẢ</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ty TNHH Thương mại và Dịch vụ Silver Sea</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Thống nhất cách ghi nhận nghĩa vụ thanh toán cho nhà cung cấp, theo dõi hạn và đối trừ khi một đối tác có hai vai trò.</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Căn cứ phạm vi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Báo giá TTransport cho Silver Sea — Phiên bản 2 ngày 20/07/2026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1.0</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khảo sát và xác nhận yêu cầu</w:t>
            </w:r>
          </w:p>
        </w:tc>
      </w:tr>
    </w:tbl>
    <w:p>
      <w:pPr>
        <w:keepNext w:val="false"/>
        <w:spacing w:before="7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6. Nội dung trong cột “Đề xuất của TingTing” là phương án thảo luận, chỉ trở thành yêu cầu chính thức sau khi Silver Sea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“Chấp thuận”, “Cần điều chỉnh” hoặc “Không áp dụng”; ghi rõ nội dung điều chỉnh, người cung cấp dữ liệu và thời hạn hoàn thành.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phải có dữ liệu thử, người thực hiện, kết quả mong đợi và bằng chứng.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nợ phải trả</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Số tiền doanh nghiệp còn phải thanh toán cho nhà cung cấp.</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Nhà cung cấp</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Đơn vị cung cấp nhiên liệu, vận tải thuê ngoài, cảng, kho hoặc dịch vụ khác.</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Đối trừ công nợ</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Giảm đồng thời khoản phải thu và khoản phải trả của cùng một đối tác theo phê duyệt.</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Chứng từ thanh toán</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Ủy nhiệm chi, sao kê hoặc phiếu chi làm căn cứ ghi nhận đã trả tiền.</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300"/>
        <w:gridCol w:w="49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Mục</w:t>
            </w:r>
          </w:p>
        </w:tc>
        <w:tc>
          <w:tcPr>
            <w:tcW w:type="dxa" w:w="4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Nội dung</w:t>
            </w:r>
          </w:p>
        </w:tc>
        <w:tc>
          <w:tcPr>
            <w:tcW w:type="dxa" w:w="49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6.1</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Theo dõi công nợ nhiên liệu</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Đối chiếu hóa đơn với nhiên liệu đã ghi nhận theo xe và kỳ; chỉ ghi công nợ một lần cho mỗi hóa đơn</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6.2</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Mở rộng công nợ cho hãng tàu, nhà xe, cảng, kho và dịch vụ</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Mỗi khoản phải trả liên kết đúng nhà cung cấp và chứng từ nguồn; danh mục nhà cung cấp không bị trùng</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6.3</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Theo dõi hóa đơn, ngày đến hạn và thanh toán nhà cung cấp</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Thanh toán giảm đúng công nợ; cho phép trả một phần; không ghi nhận hai lần cùng chứng từ chi</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6.4</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Đối trừ công nợ song phương</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Số đối trừ không vượt số nhỏ hơn giữa hai bên; chỉ ghi sổ sau khi phê duyệt</w:t>
            </w:r>
          </w:p>
        </w:tc>
      </w:tr>
    </w:tbl>
    <w:p>
      <w:pPr>
        <w:keepNext w:val="false"/>
        <w:spacing w:after="100" w:line="260"/>
        <w:jc w:val="left"/>
      </w:pPr>
      <w:r>
        <w:rPr>
          <w:rFonts w:ascii="Arial" w:cs="Arial" w:eastAsia="Arial" w:hAnsi="Arial"/>
          <w:b w:val="false"/>
          <w:bCs w:val="false"/>
          <w:i w:val="false"/>
          <w:iCs w:val="false"/>
          <w:color w:val="263238"/>
          <w:sz w:val="20"/>
          <w:szCs w:val="20"/>
        </w:rPr>
        <w:t xml:space="preserve">Phân hệ 6 gồm 4 nhóm chức năng. Mỗi nhóm dưới đây có câu hỏi riêng, tiêu chí nghiệm thu và ô kết luận để tránh sử dụng các yêu cầu chung chung.</w:t>
      </w:r>
    </w:p>
    <w:p>
      <w:pPr>
        <w:pStyle w:val="Heading1"/>
        <w:keepNext/>
        <w:pageBreakBefore/>
      </w:pPr>
      <w:r>
        <w:rPr>
          <w:rFonts w:ascii="Arial" w:cs="Arial" w:eastAsia="Arial" w:hAnsi="Arial"/>
          <w:b/>
          <w:bCs/>
          <w:i w:val="false"/>
          <w:iCs w:val="false"/>
          <w:color w:val="174A7E"/>
          <w:sz w:val="28"/>
          <w:szCs w:val="28"/>
        </w:rPr>
        <w:t xml:space="preserve">6.1 Theo dõi công nợ nhiên liệu</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ghi nhận và thanh toán; giám đốc xem cần theo dõi công nợ nhiên liệu. Kết quả mong muốn: hiển thị số đã trả, còn phải trả, hạn thanh toán và chênh lệch với dữ liệu nhiên liệu</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theo dõi công nợ nhiên liệu?</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nhà cung cấp, hóa đơn nhiên liệu, kỳ, số lít, đơn giá, tổng tiền, hạn và trạng thái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ghi nhận và thanh toán; giám đốc xem</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hóa đơn với nhiên liệu đã ghi nhận theo xe và kỳ; chỉ ghi công nợ một lần cho mỗi hóa đơn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số đã trả, còn phải trả, hạn thanh toán và chênh lệch với dữ liệu nhiên liệu</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Hóa đơn điều chỉnh hoặc chênh lệch số lít phải được giải trình trước khi duyệt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Một hóa đơn cho nhiều xe; thanh toán một phần; hóa đơn đến sau kỳ</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M06-01-01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nhà cung cấp, hóa đơn nhiên liệu, kỳ, số lít, đơn giá, tổng tiền, hạn và trạng thái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số đã trả, còn phải trả, hạn thanh toán và chênh lệch với dữ liệu nhiên liệu</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M06-01-02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M06-01-03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Hóa đơn điều chỉnh hoặc chênh lệch số lít phải được giải trình trước khi duyệt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M06-01-04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M06-01-05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một hóa đơn cho nhiều xe; thanh toán một phần; hóa đơn đến sau kỳ.</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6.2 Mở rộng công nợ cho hãng tàu, nhà xe, cảng, kho và dịch vụ</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quản lý; bộ phận nghiệp vụ cung cấp chứng từ cần mở rộng công nợ cho hãng tàu, nhà xe, cảng, kho và dịch vụ. Kết quả mong muốn: sổ công nợ hiển thị phát sinh theo loại dịch vụ, chứng từ và trạng thái</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mở rộng công nợ cho hãng tàu, nhà xe, cảng, kho và dịch vụ?</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nhà cung cấp, loại dịch vụ, hóa đơn, lô hoặc chuyến, số tiền, thuế và hạn thanh toán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quản lý; bộ phận nghiệp vụ cung cấp chứng từ</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Mỗi khoản phải trả liên kết đúng nhà cung cấp và chứng từ nguồn; danh mục nhà cung cấp không bị trùng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Sổ công nợ hiển thị phát sinh theo loại dịch vụ, chứng từ và trạng thái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Nhà cung cấp chưa có hồ sơ phải được tạo và kiểm tra trước; khoản không có hóa đơn cần căn cứ thay thế</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Nhà xe đồng thời là khách hàng; một hóa đơn nhiều lô; đổi tên nhà cung cấp</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M06-02-01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nhà cung cấp, loại dịch vụ, hóa đơn, lô hoặc chuyến, số tiền, thuế và hạn thanh toán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Sổ công nợ hiển thị phát sinh theo loại dịch vụ, chứng từ và trạng thái</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M06-02-02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M06-02-03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Nhà cung cấp chưa có hồ sơ phải được tạo và kiểm tra trước; khoản không có hóa đơn cần căn cứ thay thế</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M06-02-04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M06-02-05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nhà xe đồng thời là khách hàng; một hóa đơn nhiều lô; đổi tên nhà cung cấp.</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6.3 Theo dõi hóa đơn, ngày đến hạn và thanh toán nhà cung cấp</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ghi nhận; người có thẩm quyền duyệt chi theo quy định cần theo dõi hóa đơn, ngày đến hạn và thanh toán nhà cung cấp. Kết quả mong muốn: hiển thị tuổi nợ phải trả, lịch sử chi và số còn phải trả theo hóa đơn</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theo dõi hóa đơn, ngày đến hạn và thanh toán nhà cung cấp?</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hóa đơn, ngày nhận, ngày đến hạn, số tiền, lịch thanh toán và chứng từ chi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ghi nhận; người có thẩm quyền duyệt chi theo quy định</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Thanh toán giảm đúng công nợ; cho phép trả một phần; không ghi nhận hai lần cùng chứng từ chi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tuổi nợ phải trả, lịch sử chi và số còn phải trả theo hóa đơn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Thanh toán trước hóa đơn hoặc trả thừa phải được ghi thành khoản tạm ứng hoặc chưa phân bổ</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Đúng ngày đến hạn; ngày nghỉ; một khoản chi trả nhiều hóa đơn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M06-03-01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hóa đơn, ngày nhận, ngày đến hạn, số tiền, lịch thanh toán và chứng từ chi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tuổi nợ phải trả, lịch sử chi và số còn phải trả theo hóa đơn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M06-03-02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M06-03-03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Thanh toán trước hóa đơn hoặc trả thừa phải được ghi thành khoản tạm ứng hoặc chưa phân bổ</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M06-03-04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M06-03-05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đúng ngày đến hạn; ngày nghỉ; một khoản chi trả nhiều hóa đơn.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6.4 Đối trừ công nợ song phương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lập; quản lý phê duyệt cần đối trừ công nợ song phương. Kết quả mong muốn: tạo hai bút toán liên kết, giảm đúng phải thu và phải trả, giữ nguyên dấu vết trước đối trừ</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đối trừ công nợ song phương?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tác liên kết vai trò khách hàng và nhà cung cấp, số phải thu, số phải trả, ngày và biên bản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lập; quản lý phê duyệt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đối trừ không vượt số nhỏ hơn giữa hai bên; chỉ ghi sổ sau khi phê duyệt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hai bút toán liên kết, giảm đúng phải thu và phải trả, giữ nguyên dấu vết trước đối trừ</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Yêu cầu bị từ chối không làm đổi số dư; hủy sau phê duyệt phải dùng bút toán hoàn tác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dư thay đổi trong lúc chờ duyệt; đối trừ một phần; hai yêu cầu đồng thời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M06-04-01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đối tác liên kết vai trò khách hàng và nhà cung cấp, số phải thu, số phải trả, ngày và biên bản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Tạo hai bút toán liên kết, giảm đúng phải thu và phải trả, giữ nguyên dấu vết trước đối trừ</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M06-04-02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M06-04-03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Yêu cầu bị từ chối không làm đổi số dư; hủy sau phê duyệt phải dùng bút toán hoàn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M06-04-04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M06-04-05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số dư thay đổi trong lúc chờ duyệt; đối trừ một phần; hai yêu cầu đồng thời.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600"/>
        <w:gridCol w:w="4100"/>
        <w:gridCol w:w="27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4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7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quyền truy cập</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người tạo, người kiểm tra, người duyệt và người chỉ được xem trong Phân hệ 6.</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 cần cung cấp</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Silver Sea xác nhận danh mục ban đầu, người phụ trách và thời hạn cung cấp trước khi nhập thử.</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và kỳ nghiệp vụ</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chốt cách xử lý cuối tuần, ngày lễ, dữ liệu qua ngày và khóa kỳ.</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Thông báo</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sự kiện cần thông báo, người nhận, kênh gửi và cách xử lý khi gửi thất bại.</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đính kèm và tệp xuất</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loại tệp, dung lượng, thời hạn lưu, người được tải xuống và mẫu tài liệu chính thức.</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lịch sử</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phạm vi nhập dữ liệu cũ, cách kiểm tra tổng đầu kỳ và trách nhiệm xác nhận.</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với phân hệ khác</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dữ liệu đầu vào, đầu ra và thời điểm đồng bộ để tránh nhập lặp hoặc lệch số liệu.</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cách ghi nhận lỗi, mức độ ưu tiên và bằng chứng xác nhận đã khắc phục.</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phân hệ</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300"/>
        <w:gridCol w:w="2200"/>
        <w:gridCol w:w="6606"/>
      </w:tblGrid>
      <w:tr>
        <w:trPr>
          <w:tblHeader/>
        </w:trPr>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Nhóm kiểm tra</w:t>
            </w:r>
          </w:p>
        </w:tc>
        <w:tc>
          <w:tcPr>
            <w:tcW w:type="dxa" w:w="66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Tiêu chí đạt</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M06-HT-01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Ngôn ngữ</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Nhãn, hướng dẫn và thông báo lỗi dùng tiếng Việt; chỉ giữ CUS, tên riêng và mã tiêu chuẩn cần thiết.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M06-HT-02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quyền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chỉ xem và thao tác đúng chức năng, đơn vị và dữ liệu được giao; đường dẫn trực tiếp không vượt quyền.</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M06-HT-03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Nhật ký</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sửa, duyệt, chốt, hủy và xử lý ngoại lệ ghi đủ người, thời điểm, thay đổi và lý do.</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M06-HT-04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toàn vẹn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do mạng chập chờn hoặc bấm hai lần không tạo bản ghi, chứng từ hay bút toán trùng.</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M06-HT-05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Tiền tệ</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dùng đồng Việt Nam, không có số lẻ; phép cộng trừ và dấu phân cách đúng; màn hình khớp tệp xuất.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M06-HT-06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thống nhất theo giờ Việt Nam; thứ tự sự kiện và quy tắc kỳ không thay đổi giữa các màn hình.</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M06-HT-07</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trên máy tính và điện thoại mà không che nút, vỡ bảng hoặc mất dữ liệu đã nhập.</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M06-HT-08</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Khôi phục lỗi</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hoặc máy chủ tạm lỗi có thông báo dễ hiểu; người dùng thử lại an toàn và không mất dữ liệu đã lưu.</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M06-HT-09</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Tìm kiếm và xuất dữ liệu</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tìm kiếm đúng phạm vi quyền; tệp xuất mở được, đủ cột, đúng tổng và không vỡ bố cục.</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M06-HT-10</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liên phân hệ</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của Phân hệ 6 khớp nguồn và đích liên quan; mọi chênh lệch truy ngược được tới chứng từ hoặc thao tác.</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Sao chép bảng dưới đây cho từng đợt chạy thử.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cần cung cấp đã có người phụ trách và hạn hoàn thành; tiêu chí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Silver Sea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 Sea</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80" w:before="26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 SEA</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Phân hệ 6 — Bản làm việc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 Sea  |  Phiếu xác nhận yêu cầu Phân hệ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 Sea — Phiếu khảo sát và xác nhận yêu cầu Phân hệ 6</dc:title>
  <dc:creator>TingTing</dc:creator>
  <dc:description>Tài liệu khảo sát nghiệp vụ và tiêu chí nghiệm thu bằng tiếng Việt</dc:description>
  <cp:lastModifiedBy>Un-named</cp:lastModifiedBy>
  <cp:revision>1</cp:revision>
  <dcterms:created xsi:type="dcterms:W3CDTF">2026-07-21T11:53:59.935Z</dcterms:created>
  <dcterms:modified xsi:type="dcterms:W3CDTF">2026-07-21T11:53:59.935Z</dcterms:modified>
</cp:coreProperties>
</file>

<file path=docProps/custom.xml><?xml version="1.0" encoding="utf-8"?>
<Properties xmlns="http://schemas.openxmlformats.org/officeDocument/2006/custom-properties" xmlns:vt="http://schemas.openxmlformats.org/officeDocument/2006/docPropsVTypes"/>
</file>