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o work on this 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360B7D"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360B7D" w:rsidP="007244BC">
      <w:pPr>
        <w:widowControl w:val="0"/>
        <w:autoSpaceDE w:val="0"/>
        <w:autoSpaceDN w:val="0"/>
        <w:adjustRightInd w:val="0"/>
        <w:rPr>
          <w:rFonts w:ascii="Arial" w:hAnsi="Arial" w:cs="Arial"/>
          <w:color w:val="1616F6"/>
        </w:rPr>
      </w:pPr>
      <w:hyperlink r:id="rId8"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360B7D" w:rsidP="007244BC">
      <w:pPr>
        <w:widowControl w:val="0"/>
        <w:autoSpaceDE w:val="0"/>
        <w:autoSpaceDN w:val="0"/>
        <w:adjustRightInd w:val="0"/>
        <w:rPr>
          <w:rFonts w:ascii="Arial" w:hAnsi="Arial" w:cs="Arial"/>
          <w:bCs/>
          <w:color w:val="1616F6"/>
        </w:rPr>
      </w:pPr>
      <w:hyperlink r:id="rId9"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360B7D" w:rsidP="00011D2A">
      <w:pPr>
        <w:widowControl w:val="0"/>
        <w:autoSpaceDE w:val="0"/>
        <w:autoSpaceDN w:val="0"/>
        <w:adjustRightInd w:val="0"/>
        <w:rPr>
          <w:rStyle w:val="Hyperlink"/>
          <w:rFonts w:ascii="Arial" w:hAnsi="Arial" w:cs="Arial"/>
          <w:bCs/>
          <w:color w:val="1616F6"/>
        </w:rPr>
      </w:pPr>
      <w:hyperlink r:id="rId10"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high level requirements related to the “How To Train Your Dragon Boat” Application. The sections below will describe the systems features and the purpose of them, as well as describing their functionality through a use of diagrams. This requirements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To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To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Communication can also be established between users through the use of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all of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scope, </w:t>
      </w:r>
      <w:r w:rsidRPr="00410DBC">
        <w:rPr>
          <w:rFonts w:ascii="Arial" w:hAnsi="Arial" w:cs="Arial"/>
          <w:color w:val="000000" w:themeColor="text1"/>
          <w:highlight w:val="yellow"/>
        </w:rPr>
        <w:t>and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The map provided with the application will be used for location tracking only, and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To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flexible, and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Tasks defined for the project and the division of the tasks is limited by low </w:t>
      </w:r>
      <w:bookmarkStart w:id="14" w:name="_GoBack"/>
      <w:bookmarkEnd w:id="14"/>
      <w:r>
        <w:rPr>
          <w:rFonts w:ascii="Arial" w:hAnsi="Arial" w:cs="Arial"/>
          <w:color w:val="000000" w:themeColor="text1"/>
        </w:rPr>
        <w:t>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 xml:space="preserve">The use of, or the implementation of the React Native Npm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t>Assumptions and Dependencies</w:t>
      </w:r>
      <w:bookmarkEnd w:id="15"/>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lastRenderedPageBreak/>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Npm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npm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navigation npm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drag-and-drop npm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maps npm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animation npm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 &lt;Functional Requirement or Feature #1&gt;</w:t>
      </w:r>
      <w:bookmarkEnd w:id="18"/>
      <w:bookmarkEnd w:id="19"/>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20" w:name="_Toc506458792"/>
      <w:bookmarkStart w:id="21"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0"/>
      <w:bookmarkEnd w:id="21"/>
    </w:p>
    <w:p w14:paraId="0323B1C1" w14:textId="77777777" w:rsidR="00695DC7" w:rsidRDefault="00695DC7" w:rsidP="00815D21">
      <w:pPr>
        <w:pStyle w:val="Heading3"/>
        <w:numPr>
          <w:ilvl w:val="0"/>
          <w:numId w:val="0"/>
        </w:numPr>
        <w:ind w:firstLine="720"/>
        <w:rPr>
          <w:rFonts w:cs="Arial"/>
          <w:i w:val="0"/>
          <w:szCs w:val="24"/>
        </w:rPr>
      </w:pPr>
      <w:bookmarkStart w:id="22" w:name="_Toc506458793"/>
      <w:bookmarkStart w:id="23"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2"/>
      <w:bookmarkEnd w:id="23"/>
      <w:r w:rsidR="00025E1F">
        <w:rPr>
          <w:rFonts w:cs="Arial"/>
          <w:i w:val="0"/>
          <w:szCs w:val="24"/>
        </w:rPr>
        <w:t xml:space="preserve"> ...</w:t>
      </w:r>
    </w:p>
    <w:p w14:paraId="0B66FCED" w14:textId="77777777" w:rsidR="00586CDB" w:rsidRPr="00586CDB" w:rsidRDefault="00586CDB" w:rsidP="00586CDB">
      <w:pPr>
        <w:rPr>
          <w:lang w:eastAsia="en-US"/>
        </w:rPr>
      </w:pPr>
    </w:p>
    <w:p w14:paraId="0901D257"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25EF0D98"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5EE93B1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348BCCA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7235DA9B"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17106D43" w14:textId="77777777" w:rsidR="00176F37" w:rsidRDefault="00176F37" w:rsidP="00695DC7">
      <w:pPr>
        <w:rPr>
          <w:rFonts w:ascii="Arial" w:hAnsi="Arial" w:cs="Arial"/>
        </w:rPr>
      </w:pPr>
    </w:p>
    <w:p w14:paraId="6C3C6E0A"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5567981"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lastRenderedPageBreak/>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etc).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135C686F" w14:textId="77777777" w:rsidR="00CD2978" w:rsidRPr="00CD2978" w:rsidRDefault="00CD2978" w:rsidP="00CD2978">
      <w:pPr>
        <w:rPr>
          <w:lang w:eastAsia="en-US"/>
        </w:rPr>
      </w:pPr>
    </w:p>
    <w:p w14:paraId="77957438" w14:textId="2C68CFC8" w:rsidR="00E6276F" w:rsidRPr="00E6276F" w:rsidRDefault="00E6276F" w:rsidP="00E6276F">
      <w:pPr>
        <w:rPr>
          <w:rFonts w:ascii="Arial" w:hAnsi="Arial" w:cs="Arial"/>
        </w:rPr>
      </w:pPr>
      <w:bookmarkStart w:id="40" w:name="_Toc506458808"/>
      <w:bookmarkStart w:id="41" w:name="_Toc506459174"/>
      <w:r>
        <w:rPr>
          <w:rFonts w:ascii="Arial" w:hAnsi="Arial" w:cs="Arial"/>
        </w:rPr>
        <w:t xml:space="preserve">A local database will be used to store information on team members as well as past performance in races and practices. As this information is stored locally on the users phone, file size is a concern, as such map data will be stored in the database but other analytics (eg.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is </w:t>
      </w:r>
      <w:r w:rsidR="00977F0A">
        <w:rPr>
          <w:rFonts w:ascii="Arial" w:hAnsi="Arial" w:cs="Arial"/>
        </w:rPr>
        <w:t>both</w:t>
      </w:r>
      <w:r w:rsidR="00A80616">
        <w:rPr>
          <w:rFonts w:ascii="Arial" w:hAnsi="Arial" w:cs="Arial"/>
        </w:rPr>
        <w:t xml:space="preserve"> responsive</w:t>
      </w:r>
      <w:r w:rsidR="00977F0A">
        <w:rPr>
          <w:rFonts w:ascii="Arial" w:hAnsi="Arial" w:cs="Arial"/>
        </w:rPr>
        <w:t xml:space="preserve"> and</w:t>
      </w:r>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76C8921" w:rsidR="00025E1F" w:rsidRPr="00025E1F" w:rsidRDefault="00095A20" w:rsidP="001436F3">
            <w:pPr>
              <w:rPr>
                <w:rFonts w:ascii="Arial" w:hAnsi="Arial" w:cs="Arial"/>
              </w:rPr>
            </w:pPr>
            <w:r>
              <w:rPr>
                <w:rFonts w:ascii="Arial" w:hAnsi="Arial" w:cs="Arial"/>
              </w:rPr>
              <w:t>Lead Programmer</w:t>
            </w:r>
          </w:p>
        </w:tc>
        <w:tc>
          <w:tcPr>
            <w:tcW w:w="2331" w:type="dxa"/>
          </w:tcPr>
          <w:p w14:paraId="62FEAC3A" w14:textId="00F68BF7" w:rsidR="00025E1F" w:rsidRPr="00025E1F" w:rsidRDefault="00095A20" w:rsidP="001436F3">
            <w:pPr>
              <w:rPr>
                <w:rFonts w:ascii="Arial" w:hAnsi="Arial" w:cs="Arial"/>
              </w:rPr>
            </w:pPr>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DFE81" w14:textId="77777777" w:rsidR="00360B7D" w:rsidRDefault="00360B7D">
      <w:r>
        <w:separator/>
      </w:r>
    </w:p>
  </w:endnote>
  <w:endnote w:type="continuationSeparator" w:id="0">
    <w:p w14:paraId="7635B81D" w14:textId="77777777" w:rsidR="00360B7D" w:rsidRDefault="0036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194C4" w14:textId="77777777" w:rsidR="00360B7D" w:rsidRDefault="00360B7D">
      <w:r>
        <w:separator/>
      </w:r>
    </w:p>
  </w:footnote>
  <w:footnote w:type="continuationSeparator" w:id="0">
    <w:p w14:paraId="041F195C" w14:textId="77777777" w:rsidR="00360B7D" w:rsidRDefault="00360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0B7D"/>
    <w:rsid w:val="00361F2C"/>
    <w:rsid w:val="00363614"/>
    <w:rsid w:val="0037680F"/>
    <w:rsid w:val="0038276D"/>
    <w:rsid w:val="00386CED"/>
    <w:rsid w:val="00386FEE"/>
    <w:rsid w:val="003B4097"/>
    <w:rsid w:val="003C06F3"/>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96697"/>
    <w:rsid w:val="006B349A"/>
    <w:rsid w:val="006C52B3"/>
    <w:rsid w:val="006C6170"/>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D719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31CF9"/>
    <w:rsid w:val="00C41D02"/>
    <w:rsid w:val="00C5400A"/>
    <w:rsid w:val="00C72EDA"/>
    <w:rsid w:val="00C84E8D"/>
    <w:rsid w:val="00CA2A81"/>
    <w:rsid w:val="00CC46DA"/>
    <w:rsid w:val="00CC6A26"/>
    <w:rsid w:val="00CD2978"/>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ricity.wsu.edu/~mckinnon/cpts322/cpts322-srs-v1.doc" TargetMode="External"/><Relationship Id="rId4" Type="http://schemas.openxmlformats.org/officeDocument/2006/relationships/webSettings" Target="webSettings.xml"/><Relationship Id="rId9" Type="http://schemas.openxmlformats.org/officeDocument/2006/relationships/hyperlink" Target="https://nces.ed.gov/pubs2005/tech_suite/part_2.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Joey Ragusa</cp:lastModifiedBy>
  <cp:revision>12</cp:revision>
  <cp:lastPrinted>2008-09-23T16:31:00Z</cp:lastPrinted>
  <dcterms:created xsi:type="dcterms:W3CDTF">2019-11-03T20:45:00Z</dcterms:created>
  <dcterms:modified xsi:type="dcterms:W3CDTF">2019-11-11T18:18:00Z</dcterms:modified>
</cp:coreProperties>
</file>