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pertitle"/>
        <w:jc w:val="center"/>
      </w:pPr>
      <w:r>
        <w:rPr>
          <w:rFonts w:ascii="Times New Roman" w:hAnsi="Times New Roman" w:eastAsia="Times New Roman"/>
          <w:b w:val="0"/>
          <w:i w:val="0"/>
          <w:sz w:val="48"/>
          <w:lang w:val="tr-TR" w:eastAsia="tr-TR"/>
        </w:rPr>
        <w:t>SACI: Kapsamla Sınırlandırılmış SIEM-CTI Kanıt Kapsamının Açıklanabilir Graf Destekli Skorlanması</w:t>
      </w:r>
    </w:p>
    <w:p>
      <w:pPr>
        <w:pStyle w:val="Author"/>
        <w:jc w:val="center"/>
      </w:pPr>
      <w:r>
        <w:rPr>
          <w:rFonts w:ascii="Times New Roman" w:hAnsi="Times New Roman" w:eastAsia="Times New Roman"/>
          <w:b w:val="0"/>
          <w:i w:val="0"/>
          <w:sz w:val="20"/>
          <w:lang w:val="tr-TR" w:eastAsia="tr-TR"/>
        </w:rPr>
        <w:t>İsmet Arslan</w:t>
      </w:r>
    </w:p>
    <w:p>
      <w:pPr>
        <w:sectPr>
          <w:headerReference w:type="default" r:id="rId10"/>
          <w:footerReference w:type="default" r:id="rId11"/>
          <w:pgSz w:w="11906" w:h="16838"/>
          <w:pgMar w:top="1077" w:right="935" w:bottom="1440" w:left="935" w:header="720" w:footer="720" w:gutter="0"/>
          <w:cols w:space="720"/>
          <w:docGrid w:linePitch="360"/>
        </w:sectPr>
      </w:pPr>
    </w:p>
    <w:p>
      <w:pPr>
        <w:pStyle w:val="BodyText"/>
        <w:spacing w:after="40" w:line="240" w:lineRule="auto"/>
        <w:ind w:firstLine="0"/>
      </w:pPr>
      <w:r>
        <w:rPr>
          <w:rFonts w:ascii="Times New Roman" w:hAnsi="Times New Roman" w:eastAsia="Times New Roman"/>
        </w:rPr>
        <w:t>Özet—Bu çalışma, tanımlı bir SIEM-CTI kanıt evrenindeki varlık, log kaynağı, tespit kontrolü, Wazuh kuralı, MITRE ATT&amp;CK tekniği ve CTI nesnesi ilişkilerini ölçen Security Analytics Coverage Index (SACI) çerçevesini sunmaktadır. SACI; kritik varlık ağırlıklı log kapsamı (CWLC), kontrol/alarm kapsamı (CAC), kapsam içi ATT&amp;CK kapsamı (MDC), yapılandırılmış CTI iş akışı kapanışı (CTIC) ve küresel tazelik göstergesini (TF), uygulanabilir bileşenlerde aktif ağırlık normalizasyonuyla birleştirir. Altı varlıklı kontrollü Wazuh-MISP laboratuvarının kanonik anlık görüntüsünde 12/12 varlık-log çifti, 25/25 etkin kontrol, 13/13 teknik ve iki IOC için 8/8 CTI bayrağı kapanmış; bileşen vektörü ile SACI 100 olmuştur. Ön yayın denetiminde bulunan 97/99 düğüm uyumsuzluğu teorik keşif olarak değil, artefakt üretim kusuru ve bağımsız bütünlük kapısı için regresyon vakası olarak ele alınmıştır. Düzeltme sonrası kanonik graf 99/99 düğüm, 171/171 gözlenen ilişki ve sıfır etkin bulguyla VALID/OPEN durumuna geçmiştir. Bütünlük kapısı ayrıca dokuz kontrollü kusur vakasında beklenen sınıfları doğru üretmiş; sentetik kardinalite deneyinde 99.000 düğüm ve 171.000 ilişki satırı medyan 883,438 ms ve 41,17 MiB tepe izlenen bellekle doğrulanmıştır. Sonuçlar, yeni bir matematiksel teoremden ziyade şeffaf ağırlıklı toplama, tiplenmiş köken ve fail-closed yayın doğrulamasını birleştiren denetlenebilir bir ölçüm protokolünü göstermektedir.</w:t>
      </w:r>
    </w:p>
    <w:p>
      <w:pPr>
        <w:pStyle w:val="BodyText"/>
        <w:spacing w:after="40" w:line="240" w:lineRule="auto"/>
        <w:ind w:firstLine="0"/>
      </w:pPr>
      <w:r>
        <w:rPr>
          <w:rFonts w:ascii="Times New Roman" w:hAnsi="Times New Roman" w:eastAsia="Times New Roman"/>
        </w:rPr>
        <w:t>Anahtar Kelimeler—SACI, SIEM, Wazuh, kanıt grafı, MITRE ATT&amp;CK, siber tehdit istihbaratı, kanıt kapsamı, bütünlük kapısı, kusur enjeksiyonu, ölçeklenebilirlik</w:t>
      </w:r>
    </w:p>
    <w:p>
      <w:pPr>
        <w:pStyle w:val="Heading1"/>
        <w:spacing w:before="120" w:after="60"/>
        <w:ind w:firstLine="0"/>
        <w:jc w:val="center"/>
      </w:pPr>
      <w:r>
        <w:rPr>
          <w:rFonts w:ascii="Times New Roman" w:hAnsi="Times New Roman" w:eastAsia="Times New Roman"/>
          <w:b/>
          <w:i w:val="0"/>
          <w:sz w:val="20"/>
          <w:lang w:val="tr-TR" w:eastAsia="tr-TR"/>
        </w:rPr>
        <w:t>I. GİRİŞ</w:t>
      </w:r>
    </w:p>
    <w:p>
      <w:pPr>
        <w:pStyle w:val="BodyText"/>
        <w:spacing w:before="0" w:after="40" w:line="240" w:lineRule="auto"/>
        <w:ind w:firstLine="259"/>
      </w:pPr>
      <w:r>
        <w:rPr>
          <w:rFonts w:ascii="Times New Roman" w:hAnsi="Times New Roman" w:eastAsia="Times New Roman"/>
          <w:b w:val="0"/>
          <w:i w:val="0"/>
          <w:sz w:val="16"/>
          <w:lang w:val="tr-TR" w:eastAsia="tr-TR"/>
        </w:rPr>
        <w:t>Modern güvenlik operasyon merkezleri (SOC), zararlı davranışları tespit etmek ve müdahaleyi önceliklendirmek için uç nokta, kimlik, ağ ve uygulama katmanlarından sürekli telemetri toplar. Bununla birlikte bir SIEM'in kurulu olması, kritik varlıkların beklenen kaynaklarla izlendiğini veya ilgili saldırı tekniklerinin gözlenebilir kanıta sahip olduğunu tek başına göstermez.</w:t>
      </w:r>
    </w:p>
    <w:p>
      <w:pPr>
        <w:pStyle w:val="BodyText"/>
        <w:spacing w:before="0" w:after="40" w:line="240" w:lineRule="auto"/>
        <w:ind w:firstLine="259"/>
      </w:pPr>
      <w:r>
        <w:rPr>
          <w:rFonts w:ascii="Times New Roman" w:hAnsi="Times New Roman" w:eastAsia="Times New Roman"/>
          <w:b w:val="0"/>
          <w:i w:val="0"/>
          <w:sz w:val="16"/>
          <w:lang w:val="tr-TR" w:eastAsia="tr-TR"/>
        </w:rPr>
        <w:t>Kurumsal saldırı yüzeyinin büyümesi bu ayrımı daha önemli hale getirmektedir. Bulut hizmetleri, uzaktan erişim platformları, güvenlik duvarları, kimlik sağlayıcıları ve üçüncü taraf entegrasyonları parçalı kanıt üretir. Alarm hacmi yüksek olsa bile eski telemetri, kapsam dışı bırakılmış kontroller veya bağlanmamış teknikler kritik kör noktalar yaratabilir.</w:t>
      </w:r>
    </w:p>
    <w:p>
      <w:pPr>
        <w:pStyle w:val="BodyText"/>
        <w:spacing w:before="0" w:after="40" w:line="240" w:lineRule="auto"/>
        <w:ind w:firstLine="259"/>
      </w:pPr>
      <w:r>
        <w:rPr>
          <w:rFonts w:ascii="Times New Roman" w:hAnsi="Times New Roman" w:eastAsia="Times New Roman"/>
          <w:b w:val="0"/>
          <w:i w:val="0"/>
          <w:sz w:val="16"/>
          <w:lang w:val="tr-TR" w:eastAsia="tr-TR"/>
        </w:rPr>
        <w:t>Bu çalışma şu araştırma sorusunu ele almaktadır: Heterojen SIEM telemetrisi ve tehdit bağlamı, kökeni izlenebilir ve kapsamı açıkça tanımlanmış bir kanıt kapsamı skoruna nasıl dönüştürülebilir? SACI; varlıkları, log kaynaklarını, tespit kontrollerini, kuralları, ATT&amp;CK tekniklerini ve CTI nesnelerini birleştirir; tiplenmiş kanıt grafını skorun köken, bütünlük ve açıklama katmanı olarak kullanır.</w:t>
      </w:r>
    </w:p>
    <w:p>
      <w:pPr>
        <w:pStyle w:val="BodyText"/>
        <w:spacing w:before="0" w:after="40" w:line="240" w:lineRule="auto"/>
        <w:ind w:firstLine="259"/>
      </w:pPr>
      <w:r>
        <w:rPr>
          <w:rFonts w:ascii="Times New Roman" w:hAnsi="Times New Roman" w:eastAsia="Times New Roman"/>
        </w:rPr>
        <w:t>SACI, tanımlı izleme tabanı ile gözlenen telemetri ve zenginleştirme kanıtı arasındaki kapanışı ölçer. Her değerlendirme; kapsam kimliği, bileşen vektörü, aktif ağırlıklar, ilişki kapanışı, bütünlük durumu ve yayın kapısıyla birlikte raporlanır. Böylece birleşik skor, onu üreten pay ve paydalardan ayrılmadan yorumlanabilir.</w:t>
      </w:r>
    </w:p>
    <w:p>
      <w:pPr>
        <w:pStyle w:val="BodyText"/>
        <w:spacing w:before="0" w:after="40" w:line="240" w:lineRule="auto"/>
        <w:ind w:firstLine="0"/>
      </w:pPr>
      <w:r>
        <w:rPr>
          <w:rFonts w:ascii="Times New Roman" w:hAnsi="Times New Roman" w:eastAsia="Times New Roman"/>
        </w:rPr>
        <w:t>Çalışmanın katkıları altı başlıkta özetlenebilir: (i) SIEM-CTI kanıtı için tiplenmiş ve satır düzeyinde kimlik taşıyan köken grafı; (ii) güvenlik ölçüm bileşenlerini basit toplamsal ağırlıklandırma yaklaşımıyla birleştiren, N/A durumlarında aktif ağırlıkları yeniden normalize eden uygulanmış skor; (iii) ilişki kapanışını şema ve graf geçerliliğinden ayıran fail-closed bütünlük kapısı; (iv) dokuz kontrollü kusur vakasıyla bütünlük kurallarının seçicilik doğrulaması; (v) 1x-1000x kardinalite aralığında sentetik ölçeklenebilirlik ve ayrı tutulan S0-S18 deterministik skor duyarlılığı deneyleri; (vi) kaynak kodu, CSV/JSON/CYJS artefaktları, SHA-256 kayıtları, doğrulayıcıları ve Vagrant iskelesini yayımlayan makinece okunabilir araştırma eki [13].</w:t>
      </w:r>
    </w:p>
    <w:p>
      <w:pPr>
        <w:pStyle w:val="BodyText"/>
        <w:spacing w:after="40" w:line="240" w:lineRule="auto"/>
      </w:pPr>
      <w:r>
        <w:rPr>
          <w:rFonts w:ascii="Times New Roman" w:hAnsi="Times New Roman" w:eastAsia="Times New Roman"/>
        </w:rPr>
        <w:t>Kaynaklandırma stratejisi, yöntemsel ve uygulama dayanaklarını ayırır. Hakemli ölçüm, saldırı yüzeyi, ATT&amp;CK, CTI, köken ve graf doğrulama çalışmaları kavramsal konumlandırmayı; NIST, ISO/IEC, OASIS, W3C ve üretici dokümantasyonları ise ölçüm disiplini ile kullanılan araçların teknik semantiğini dayanaklandırır. Ağırlıklar, eşikler, kapsam paydaları ve yayın politikası dış standartlardan türetilmiş evrensel değerler değil, bu çalışmada açıkça sürümlenen deney parametreleridir.</w:t>
      </w:r>
    </w:p>
    <w:p>
      <w:pPr>
        <w:pStyle w:val="BodyText"/>
        <w:spacing w:after="40" w:line="240" w:lineRule="auto"/>
      </w:pPr>
      <w:r>
        <w:rPr>
          <w:rFonts w:ascii="Times New Roman" w:hAnsi="Times New Roman" w:eastAsia="Times New Roman"/>
          <w:sz w:val="16"/>
        </w:rPr>
        <w:t>Bu katkılar iki farklı çıktı düzeyini özellikle ayırır. Birinci düzey, beş bileşenli skor vektörü ile SACI toplamını üretir ve tanımlı kapsam içindeki beklenen kanıt ilişkilerinin ne ölçüde kapandığını gösterir. İkinci düzey ise aynı veri kümesinin yayımlanabilir olup olmadığını belirleyen bütünlük durumudur. Bu nedenle bir koşumun sonucu yalnızca SACI=100 biçiminde değil; kapsam kimliği, bileşen skorları, aktif ağırlıklar, ilişki kapanışı, bütünlük durumu ve yayın kapısı ile birlikte raporlanır. Bu ayrım, yüksek kapsam skorunun hatalı uç referanslarını, çelişkili eşlemeleri veya şema bozulmalarını örtmesini önler.</w:t>
      </w:r>
    </w:p>
    <w:p>
      <w:pPr>
        <w:pStyle w:val="BodyText"/>
        <w:spacing w:after="40" w:line="240" w:lineRule="auto"/>
      </w:pPr>
      <w:r>
        <w:rPr>
          <w:rFonts w:ascii="Times New Roman" w:hAnsi="Times New Roman" w:eastAsia="Times New Roman"/>
        </w:rPr>
        <w:t>Araştırma dört soruya göre düzenlenmiştir: RQ1—Heterojen telemetri ve CTI bağlamı, denetlenebilir pay/paydalara ve bileşik kapsama dönüştürülebilir mi? RQ2—Bağımsız bütünlük kapısı sayısal kapanışı yapısal olarak geçersiz artefaktlardan ayırabilir mi? RQ3—Skor, kontrollü kanıt kayıpları ve iyileştirmelerde bildirilen ağırlık yönünde tepki verir mi? RQ4—Bütünlük kurallarının çalışma maliyeti sentetik graf kardinalitesiyle nasıl değişir? Kanonik sonuç, kusur enjeksiyonu, ölçeklenebilirlik ve duyarlılık deneyleri bu sorulara ayrı kanıt kümeleriyle yanıt verir.</w:t>
      </w:r>
    </w:p>
    <w:p>
      <w:pPr>
        <w:pStyle w:val="Heading1"/>
        <w:spacing w:before="120" w:after="60"/>
        <w:ind w:firstLine="0"/>
        <w:jc w:val="center"/>
      </w:pPr>
      <w:r>
        <w:rPr>
          <w:rFonts w:ascii="Times New Roman" w:hAnsi="Times New Roman" w:eastAsia="Times New Roman"/>
          <w:b/>
          <w:i w:val="0"/>
          <w:sz w:val="20"/>
          <w:lang w:val="tr-TR" w:eastAsia="tr-TR"/>
        </w:rPr>
        <w:t>II. İLGİLİ ÇALIŞMALAR</w:t>
      </w:r>
    </w:p>
    <w:p>
      <w:pPr>
        <w:pStyle w:val="Heading2"/>
        <w:spacing w:before="120" w:after="60"/>
        <w:ind w:firstLine="0"/>
        <w:jc w:val="left"/>
      </w:pPr>
      <w:r>
        <w:rPr>
          <w:rFonts w:ascii="Times New Roman" w:hAnsi="Times New Roman" w:eastAsia="Times New Roman"/>
          <w:b/>
          <w:i w:val="0"/>
          <w:sz w:val="20"/>
          <w:lang w:val="tr-TR" w:eastAsia="tr-TR"/>
        </w:rPr>
        <w:t>A. SIEM Telemetrisi ve Sürekli İzleme</w:t>
      </w:r>
    </w:p>
    <w:p>
      <w:pPr>
        <w:pStyle w:val="BodyText"/>
        <w:spacing w:before="0" w:after="40" w:line="240" w:lineRule="auto"/>
        <w:ind w:firstLine="259"/>
      </w:pPr>
      <w:r>
        <w:rPr>
          <w:rFonts w:ascii="Times New Roman" w:hAnsi="Times New Roman" w:eastAsia="Times New Roman"/>
          <w:b w:val="0"/>
          <w:i w:val="0"/>
          <w:sz w:val="16"/>
          <w:lang w:val="tr-TR" w:eastAsia="tr-TR"/>
        </w:rPr>
        <w:t>Sürekli izleme, güvenlik durumunun tek seferlik kontroller yerine zaman içinde gözlenen sistem ve kontrol kanıtlarıyla değerlendirilmesini gerektirir [4]. NIST CSF 2.0 da yönetişim ve ölçümün kurumsal bağlama bağlanmasını vurgular [5]. SACI bu yaklaşımı varlık-log kaynağı, kontrol-kural ve teknik ilişkilerine uygulamaktadır.</w:t>
      </w:r>
    </w:p>
    <w:p>
      <w:pPr>
        <w:pStyle w:val="BodyText"/>
        <w:spacing w:before="0" w:after="40" w:line="240" w:lineRule="auto"/>
        <w:ind w:firstLine="259"/>
      </w:pPr>
      <w:r>
        <w:rPr>
          <w:rFonts w:ascii="Times New Roman" w:hAnsi="Times New Roman" w:eastAsia="Times New Roman"/>
          <w:b w:val="0"/>
          <w:i w:val="0"/>
          <w:sz w:val="16"/>
          <w:lang w:val="tr-TR" w:eastAsia="tr-TR"/>
        </w:rPr>
        <w:t>Wazuh, uç nokta izleme, kural tabanlı tespit ve ATT&amp;CK ilişkili kural metaverisi sağlar [2]. Ancak bir kuralda teknik kimliği bulunması, ilgili varlık ve log kaynağının gerçekten gözlendiğini veya tespitin dış ortamda etkili olduğunu kanıtlamaz. Bu nedenle SACI, yapılandırma varlığını gözlenen kapsam ilişkilerinden ayırır.</w:t>
      </w:r>
    </w:p>
    <w:p>
      <w:pPr>
        <w:pStyle w:val="Heading2"/>
        <w:spacing w:before="120" w:after="60"/>
        <w:ind w:firstLine="0"/>
        <w:jc w:val="left"/>
      </w:pPr>
      <w:r>
        <w:rPr>
          <w:rFonts w:ascii="Times New Roman" w:hAnsi="Times New Roman" w:eastAsia="Times New Roman"/>
          <w:b/>
          <w:i w:val="0"/>
          <w:sz w:val="20"/>
          <w:lang w:val="tr-TR" w:eastAsia="tr-TR"/>
        </w:rPr>
        <w:t>B. MITRE ATT&amp;CK ve Tehdit İstihbaratı</w:t>
      </w:r>
    </w:p>
    <w:p>
      <w:pPr>
        <w:pStyle w:val="BodyText"/>
        <w:spacing w:before="0" w:after="40" w:line="240" w:lineRule="auto"/>
        <w:ind w:firstLine="259"/>
      </w:pPr>
      <w:r>
        <w:rPr>
          <w:rFonts w:ascii="Times New Roman" w:hAnsi="Times New Roman" w:eastAsia="Times New Roman"/>
          <w:b w:val="0"/>
          <w:i w:val="0"/>
          <w:sz w:val="16"/>
          <w:lang w:val="tr-TR" w:eastAsia="tr-TR"/>
        </w:rPr>
        <w:t>MITRE ATT&amp;CK, saldırgan taktik ve tekniklerini platformlar arası yapılandırılmış bir bilgi tabanı olarak sunar [1]. ATT&amp;CK tabanlı güvenlik değerlendirmelerinin yaygınlığına karşın kapsamın operasyonelleştirilmesi ve sonuçların doğru yorumlanması hâlen açık bir araştırma alanıdır [6]. SACI'nin MDC bileşeni yalnızca önceden beyan edilen teknik alt kümesini sayar.</w:t>
      </w:r>
    </w:p>
    <w:p>
      <w:pPr>
        <w:pStyle w:val="BodyText"/>
        <w:spacing w:before="0" w:after="40" w:line="240" w:lineRule="auto"/>
        <w:ind w:firstLine="259"/>
      </w:pPr>
      <w:r>
        <w:rPr>
          <w:rFonts w:ascii="Times New Roman" w:hAnsi="Times New Roman" w:eastAsia="Times New Roman"/>
          <w:b w:val="0"/>
          <w:i w:val="0"/>
          <w:sz w:val="16"/>
          <w:lang w:val="tr-TR" w:eastAsia="tr-TR"/>
        </w:rPr>
        <w:t>STIX ve TAXII, tehdit göstergeleri ile ilişkili siber tehdit nesnelerinin makinece okunabilir temsilini ve değişimini destekler [3], [11]. CTI modelleri bağlam zenginleştirmeyi kolaylaştırsa da bu bağlamın iç telemetriyle nasıl bağlandığı ayrıca doğrulanmalıdır [10]. SACI bu bağı dört uygulama bayrağı üzerinden denetlenebilir hale getirir.</w:t>
      </w:r>
    </w:p>
    <w:p>
      <w:pPr>
        <w:pStyle w:val="Heading2"/>
        <w:spacing w:before="120" w:after="60"/>
        <w:ind w:firstLine="0"/>
        <w:jc w:val="left"/>
      </w:pPr>
      <w:r>
        <w:rPr>
          <w:rFonts w:ascii="Times New Roman" w:hAnsi="Times New Roman" w:eastAsia="Times New Roman"/>
          <w:b/>
          <w:i w:val="0"/>
          <w:sz w:val="20"/>
          <w:lang w:val="tr-TR" w:eastAsia="tr-TR"/>
        </w:rPr>
        <w:t>C. Graf Tabanlı Siber Güvenlik Değerlendirmesi</w:t>
      </w:r>
    </w:p>
    <w:p>
      <w:pPr>
        <w:pStyle w:val="BodyText"/>
        <w:spacing w:before="0" w:after="40" w:line="240" w:lineRule="auto"/>
        <w:ind w:firstLine="259"/>
      </w:pPr>
      <w:r>
        <w:rPr>
          <w:rFonts w:ascii="Times New Roman" w:hAnsi="Times New Roman" w:eastAsia="Times New Roman"/>
          <w:b w:val="0"/>
          <w:i w:val="0"/>
          <w:sz w:val="16"/>
          <w:lang w:val="tr-TR" w:eastAsia="tr-TR"/>
        </w:rPr>
        <w:t>Siber güvenlik bilgi grafları çok kaynaklı varlık, olay, zafiyet ve istihbarat verisini ilişkisel biçimde birleştirerek köken izleme ve karar desteği sağlar [8]. Bununla birlikte kapalı-dünya varsayımları ve sınırlı laboratuvar verisi, gözlenmeyen bir ilişkinin yokluk mu yoksa veri eksikliği mi olduğunu ayırmayı güçleştirebilir [9].</w:t>
      </w:r>
    </w:p>
    <w:p>
      <w:pPr>
        <w:pStyle w:val="BodyText"/>
        <w:spacing w:before="0" w:after="40" w:line="240" w:lineRule="auto"/>
        <w:ind w:firstLine="259"/>
      </w:pPr>
      <w:r>
        <w:rPr>
          <w:rFonts w:ascii="Times New Roman" w:hAnsi="Times New Roman" w:eastAsia="Times New Roman"/>
          <w:b w:val="0"/>
          <w:i w:val="0"/>
          <w:sz w:val="16"/>
          <w:lang w:val="tr-TR" w:eastAsia="tr-TR"/>
        </w:rPr>
        <w:t>ATT&amp;CK tabanlı puanlama çerçeveleri değerlendirme sonuçlarını teknik kapsam üzerinden özetlemiştir [7]. İleri kalıcı tehdit örnekleri, çok aşamalı davranışların tek bir göstergeye indirgenemeyeceğini göstermektedir [12]. SACI bu literatürü tamamlayarak tespit başarısı yerine kapsamla sınırlandırılmış SIEM kanıt kapanışını ölçer.</w:t>
      </w:r>
    </w:p>
    <w:p>
      <w:pPr>
        <w:pStyle w:val="Heading1"/>
        <w:spacing w:before="120" w:after="60"/>
        <w:ind w:firstLine="0"/>
        <w:jc w:val="center"/>
      </w:pPr>
      <w:r>
        <w:rPr>
          <w:rFonts w:ascii="Times New Roman" w:hAnsi="Times New Roman" w:eastAsia="Times New Roman"/>
          <w:b/>
          <w:i w:val="0"/>
          <w:sz w:val="20"/>
          <w:lang w:val="tr-TR" w:eastAsia="tr-TR"/>
        </w:rPr>
        <w:t>III. ÖNERİLEN MODEL</w:t>
      </w:r>
    </w:p>
    <w:p>
      <w:pPr>
        <w:pStyle w:val="BodyText"/>
        <w:spacing w:before="0" w:after="40" w:line="240" w:lineRule="auto"/>
        <w:ind w:firstLine="259"/>
      </w:pPr>
      <w:r>
        <w:rPr>
          <w:rFonts w:ascii="Times New Roman" w:hAnsi="Times New Roman" w:eastAsia="Times New Roman"/>
          <w:b w:val="0"/>
          <w:i w:val="0"/>
          <w:sz w:val="16"/>
          <w:lang w:val="tr-TR" w:eastAsia="tr-TR"/>
        </w:rPr>
        <w:t>SACI beş mantıksal katmandan oluşur: kapsam ve varlık envanteri, telemetri/tespit kanıtı, ATT&amp;CK-CTI bağlamı, graf destekli köken ve bütünlük denetimi ve aktif-ağırlıkla normalize edilen skorlama. Şekil 1, beklentilerin gözlenen kanıtla birleştirilip skor, bütünlük durumu ve yayımlanabilir artefakta dönüştürülmesini özetlemektedir.</w:t>
      </w:r>
    </w:p>
    <w:p>
      <w:pPr>
        <w:spacing w:after="40"/>
        <w:jc w:val="center"/>
      </w:pPr>
      <w:r>
        <w:drawing>
          <wp:inline xmlns:a="http://schemas.openxmlformats.org/drawingml/2006/main" xmlns:pic="http://schemas.openxmlformats.org/drawingml/2006/picture">
            <wp:extent cx="3063240" cy="1422219"/>
            <wp:docPr id="1" name="Picture 1" title="SACI evidence pipeline" descr="SACI kapsam ve gözlenen kanıtının tiplenmiş grafa, beş bileşenli skora ve denetlenebilir araştırma çıktılarına akışını gösteren diyagram."/>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063240" cy="1422219"/>
                    </a:xfrm>
                    <a:prstGeom prst="rect"/>
                  </pic:spPr>
                </pic:pic>
              </a:graphicData>
            </a:graphic>
          </wp:inline>
        </w:drawing>
      </w:r>
    </w:p>
    <w:p>
      <w:pPr>
        <w:pStyle w:val="BodyText"/>
        <w:spacing w:before="0" w:after="40" w:line="240" w:lineRule="auto"/>
        <w:ind w:firstLine="0"/>
        <w:jc w:val="center"/>
      </w:pPr>
      <w:r>
        <w:rPr>
          <w:rFonts w:ascii="Times New Roman" w:hAnsi="Times New Roman" w:eastAsia="Times New Roman"/>
          <w:b w:val="0"/>
          <w:i/>
          <w:sz w:val="16"/>
          <w:lang w:val="tr-TR" w:eastAsia="tr-TR"/>
        </w:rPr>
        <w:t>Şekil 1. SACI kanıt işleme ve yayımlama hattı.</w:t>
      </w:r>
    </w:p>
    <w:p>
      <w:pPr>
        <w:pStyle w:val="Heading2"/>
        <w:spacing w:before="120" w:after="60"/>
        <w:ind w:firstLine="0"/>
        <w:jc w:val="left"/>
      </w:pPr>
      <w:r>
        <w:rPr>
          <w:rFonts w:ascii="Times New Roman" w:hAnsi="Times New Roman" w:eastAsia="Times New Roman"/>
          <w:b/>
          <w:i w:val="0"/>
          <w:sz w:val="20"/>
          <w:lang w:val="tr-TR" w:eastAsia="tr-TR"/>
        </w:rPr>
        <w:t>A. Graf Şeması</w:t>
      </w:r>
    </w:p>
    <w:p>
      <w:pPr>
        <w:pStyle w:val="BodyText"/>
        <w:spacing w:before="0" w:after="40" w:line="240" w:lineRule="auto"/>
        <w:ind w:firstLine="259"/>
      </w:pPr>
      <w:r>
        <w:rPr>
          <w:rFonts w:ascii="Times New Roman" w:hAnsi="Times New Roman" w:eastAsia="Times New Roman"/>
          <w:sz w:val="16"/>
        </w:rPr>
        <w:t>Graf G=(V,E) olarak tanımlanır. V; varlık, log kaynağı, tespit kontrolü, Wazuh kuralı, ATT&amp;CK tekniği, tiplenmiş CTI nesnesi, platform, entegrasyon, skor metriği ve reason-code düğümlerini içerir. E, kaynak ve hedef kimlikleriyle ifade edilen yönlü, tiplenmiş kanıt satırlarından oluşur. Bu çalışma RDF veya PROV-O uyumlu bir ontoloji uygulamamakla birlikte, kanıt kökenini varlık-ilişki-bağlam üçlüsüyle taşıma yaklaşımı W3C PROV modelinin sistemler arası köken temsil etme ilkesiyle kavramsal olarak uyumludur [35].</w:t>
      </w:r>
    </w:p>
    <w:p>
      <w:pPr>
        <w:pStyle w:val="BodyText"/>
        <w:spacing w:before="0" w:after="40" w:line="240" w:lineRule="auto"/>
        <w:ind w:firstLine="259"/>
      </w:pPr>
      <w:r>
        <w:rPr>
          <w:rFonts w:ascii="Times New Roman" w:hAnsi="Times New Roman" w:eastAsia="Times New Roman"/>
          <w:b w:val="0"/>
          <w:i w:val="0"/>
          <w:sz w:val="16"/>
          <w:lang w:val="tr-TR" w:eastAsia="tr-TR"/>
        </w:rPr>
        <w:t>Nihai yayın grafında 18 ilişki etiketi örneklenmiştir: alerted_in, collected_by, contains, contains_ioc, contextualized_as, contributes_to, converted_to_alert, detects_technique, emits, mapped_to, maps_to, matches_ioc, produces_rule, protected_by, queries, triggers_integration, uses ve uses_log_source. observed=1 kapanmış kanıt satırını gösterir. Aynı kaynak-ilişki-hedef üçlüsündeki paralel kanıtlar yalnız benzersiz evidence_id değerleriyle ayrıştırıldığında geçerlidir.</w:t>
      </w:r>
    </w:p>
    <w:p>
      <w:pPr>
        <w:pStyle w:val="BodyText"/>
        <w:spacing w:after="40" w:line="240" w:lineRule="auto"/>
        <w:ind w:firstLine="0" w:left="173"/>
      </w:pPr>
      <w:r>
        <w:rPr>
          <w:rFonts w:ascii="Times New Roman" w:hAnsi="Times New Roman" w:eastAsia="Times New Roman"/>
          <w:b/>
          <w:i w:val="0"/>
          <w:sz w:val="18"/>
          <w:lang w:val="tr-TR" w:eastAsia="tr-TR"/>
        </w:rPr>
        <w:t>Varlık düğümü: kapsam içindeki sistem kimliği, ana bilgisayar adı ve kritiklik değerini temsil eder.</w:t>
      </w:r>
    </w:p>
    <w:p>
      <w:pPr>
        <w:pStyle w:val="BodyText"/>
        <w:spacing w:after="40" w:line="240" w:lineRule="auto"/>
        <w:ind w:firstLine="0" w:left="173"/>
      </w:pPr>
      <w:r>
        <w:rPr>
          <w:rFonts w:ascii="Times New Roman" w:hAnsi="Times New Roman" w:eastAsia="Times New Roman"/>
          <w:b/>
          <w:i w:val="0"/>
          <w:sz w:val="18"/>
          <w:lang w:val="tr-TR" w:eastAsia="tr-TR"/>
        </w:rPr>
        <w:t>Log kaynağı/kontrol düğümü: beklenen telemetri kaynağını ve bu kanıta bağlı etkin tespit kontrolünü temsil eder.</w:t>
      </w:r>
    </w:p>
    <w:p>
      <w:pPr>
        <w:pStyle w:val="BodyText"/>
        <w:spacing w:after="40" w:line="240" w:lineRule="auto"/>
        <w:ind w:firstLine="0" w:left="173"/>
      </w:pPr>
      <w:r>
        <w:rPr>
          <w:rFonts w:ascii="Times New Roman" w:hAnsi="Times New Roman" w:eastAsia="Times New Roman"/>
          <w:b/>
          <w:i w:val="0"/>
          <w:sz w:val="18"/>
          <w:lang w:val="tr-TR" w:eastAsia="tr-TR"/>
        </w:rPr>
        <w:t>Kural/teknik düğümü: Wazuh kuralını ve kapsam içindeki ATT&amp;CK teknik eşlemesini temsil eder.</w:t>
      </w:r>
    </w:p>
    <w:p>
      <w:pPr>
        <w:pStyle w:val="BodyText"/>
        <w:spacing w:after="40" w:line="240" w:lineRule="auto"/>
        <w:ind w:firstLine="0" w:left="173"/>
      </w:pPr>
      <w:r>
        <w:rPr>
          <w:rFonts w:ascii="Times New Roman" w:hAnsi="Times New Roman" w:eastAsia="Times New Roman"/>
          <w:b/>
          <w:i w:val="0"/>
          <w:sz w:val="18"/>
          <w:lang w:val="tr-TR" w:eastAsia="tr-TR"/>
        </w:rPr>
        <w:t>CTI/platform/metrik düğümü: IOC, MISP-Wazuh entegrasyonu ve hesaplanan SACI bileşenlerini temsil eder.</w:t>
      </w:r>
    </w:p>
    <w:p>
      <w:pPr>
        <w:pStyle w:val="BodyText"/>
        <w:spacing w:after="40" w:line="240" w:lineRule="auto"/>
        <w:ind w:firstLine="0" w:left="173"/>
      </w:pPr>
      <w:r>
        <w:rPr>
          <w:rFonts w:ascii="Times New Roman" w:hAnsi="Times New Roman" w:eastAsia="Times New Roman"/>
          <w:sz w:val="16"/>
        </w:rPr>
        <w:t>Bütünlük kanıtı; uç referansları, eşleme tutarlılığı, paralel üçlülerde evidence_id benzersizliği, izole düğüm politikası, CSV-CYJS tutarlılığı ve koşullu reason-code çıktılarının birlikte değerlendirilmesidir. Doğrulayıcı SHACL çalıştırmaz; ancak veri grafını önceden tanımlanmış koşullara göre kabul veya reddetmesi, SHACL'ın grafiklerin constraint kümelerine göre doğrulanması yaklaşımıyla yöntemsel benzerlik taşır [36].</w:t>
      </w:r>
    </w:p>
    <w:p>
      <w:pPr>
        <w:pStyle w:val="Heading2"/>
        <w:spacing w:before="120" w:after="60"/>
        <w:ind w:firstLine="0"/>
        <w:jc w:val="left"/>
      </w:pPr>
      <w:r>
        <w:rPr>
          <w:rFonts w:ascii="Times New Roman" w:hAnsi="Times New Roman" w:eastAsia="Times New Roman"/>
          <w:b/>
          <w:i w:val="0"/>
          <w:sz w:val="20"/>
          <w:lang w:val="tr-TR" w:eastAsia="tr-TR"/>
        </w:rPr>
        <w:t>B. Kanıt Kapsamı Metrikleri</w:t>
      </w:r>
    </w:p>
    <w:p>
      <w:pPr>
        <w:pStyle w:val="BodyText"/>
        <w:spacing w:before="0" w:after="40" w:line="240" w:lineRule="auto"/>
        <w:ind w:firstLine="259"/>
      </w:pPr>
      <w:r>
        <w:rPr>
          <w:rFonts w:ascii="Times New Roman" w:hAnsi="Times New Roman" w:eastAsia="Times New Roman"/>
          <w:b w:val="0"/>
          <w:i w:val="0"/>
          <w:sz w:val="16"/>
          <w:lang w:val="tr-TR" w:eastAsia="tr-TR"/>
        </w:rPr>
        <w:t>Bileşen skorları [0,100] aralığındadır. Uygulanabilir metrik kümesi M* için nihai skor, aktif ağırlıkların toplamına bölünerek hesaplanır; N/A metrikler sıfır yapılmaz, pay ve paydadan çıkarılır.</w:t>
      </w:r>
    </w:p>
    <w:p>
      <w:pPr>
        <w:pStyle w:val="BodyText"/>
        <w:spacing w:before="0" w:after="40" w:line="240" w:lineRule="auto"/>
        <w:ind w:firstLine="0"/>
        <w:jc w:val="center"/>
      </w:pPr>
      <m:oMath>
        <m:r>
          <m:rPr>
            <m:sty m:val="p"/>
          </m:rPr>
          <w:rPr>
            <w:sz w:val="20"/>
            <w:szCs w:val="20"/>
            <w:lang w:val="tr-TR" w:eastAsia="tr-TR"/>
          </w:rPr>
          <m:t>SACI</m:t>
        </m:r>
        <m:r>
          <w:rPr>
            <w:sz w:val="20"/>
            <w:szCs w:val="20"/>
            <w:lang w:val="tr-TR" w:eastAsia="tr-TR"/>
          </w:rPr>
          <m:t>=</m:t>
        </m:r>
        <m:f>
          <m:fPr>
            <m:type m:val="bar"/>
          </m:fPr>
          <m:num>
            <m:nary>
              <m:naryPr>
                <m:chr m:val="∑"/>
                <m:limLoc m:val="undOvr"/>
                <m:grow m:val="1"/>
                <m:subHide m:val="off"/>
                <m:supHide m:val="on"/>
              </m:naryPr>
              <m:sub>
                <m:r>
                  <w:rPr>
                    <w:sz w:val="20"/>
                    <w:szCs w:val="20"/>
                    <w:lang w:val="tr-TR" w:eastAsia="tr-TR"/>
                  </w:rPr>
                  <m:t>m∈</m:t>
                </m:r>
                <m:sSup>
                  <m:e>
                    <m:r>
                      <w:rPr>
                        <w:sz w:val="20"/>
                        <w:szCs w:val="20"/>
                        <w:lang w:val="tr-TR" w:eastAsia="tr-TR"/>
                      </w:rPr>
                      <m:t>M</m:t>
                    </m:r>
                  </m:e>
                  <m:sup>
                    <m:r>
                      <w:rPr>
                        <w:sz w:val="20"/>
                        <w:szCs w:val="20"/>
                        <w:lang w:val="tr-TR" w:eastAsia="tr-TR"/>
                      </w:rPr>
                      <m:t>*</m:t>
                    </m:r>
                  </m:sup>
                </m:sSup>
              </m:sub>
              <m:sup/>
              <m:e>
                <m:sSub>
                  <m:e>
                    <m:r>
                      <w:rPr>
                        <w:sz w:val="20"/>
                        <w:szCs w:val="20"/>
                        <w:lang w:val="tr-TR" w:eastAsia="tr-TR"/>
                      </w:rPr>
                      <m:t>w</m:t>
                    </m:r>
                  </m:e>
                  <m:sub>
                    <m:r>
                      <w:rPr>
                        <w:sz w:val="20"/>
                        <w:szCs w:val="20"/>
                        <w:lang w:val="tr-TR" w:eastAsia="tr-TR"/>
                      </w:rPr>
                      <m:t>m</m:t>
                    </m:r>
                  </m:sub>
                </m:sSub>
              </m:e>
            </m:nary>
            <m:sSub>
              <m:e>
                <m:r>
                  <w:rPr>
                    <w:sz w:val="20"/>
                    <w:szCs w:val="20"/>
                    <w:lang w:val="tr-TR" w:eastAsia="tr-TR"/>
                  </w:rPr>
                  <m:t>S</m:t>
                </m:r>
              </m:e>
              <m:sub>
                <m:r>
                  <w:rPr>
                    <w:sz w:val="20"/>
                    <w:szCs w:val="20"/>
                    <w:lang w:val="tr-TR" w:eastAsia="tr-TR"/>
                  </w:rPr>
                  <m:t>m</m:t>
                </m:r>
              </m:sub>
            </m:sSub>
          </m:num>
          <m:den>
            <m:nary>
              <m:naryPr>
                <m:chr m:val="∑"/>
                <m:limLoc m:val="undOvr"/>
                <m:grow m:val="1"/>
                <m:subHide m:val="off"/>
                <m:supHide m:val="on"/>
              </m:naryPr>
              <m:sub>
                <m:r>
                  <w:rPr>
                    <w:sz w:val="20"/>
                    <w:szCs w:val="20"/>
                    <w:lang w:val="tr-TR" w:eastAsia="tr-TR"/>
                  </w:rPr>
                  <m:t>m∈</m:t>
                </m:r>
                <m:sSup>
                  <m:e>
                    <m:r>
                      <w:rPr>
                        <w:sz w:val="20"/>
                        <w:szCs w:val="20"/>
                        <w:lang w:val="tr-TR" w:eastAsia="tr-TR"/>
                      </w:rPr>
                      <m:t>M</m:t>
                    </m:r>
                  </m:e>
                  <m:sup>
                    <m:r>
                      <w:rPr>
                        <w:sz w:val="20"/>
                        <w:szCs w:val="20"/>
                        <w:lang w:val="tr-TR" w:eastAsia="tr-TR"/>
                      </w:rPr>
                      <m:t>*</m:t>
                    </m:r>
                  </m:sup>
                </m:sSup>
              </m:sub>
              <m:sup/>
              <m:e>
                <m:sSub>
                  <m:e>
                    <m:r>
                      <w:rPr>
                        <w:sz w:val="20"/>
                        <w:szCs w:val="20"/>
                        <w:lang w:val="tr-TR" w:eastAsia="tr-TR"/>
                      </w:rPr>
                      <m:t>w</m:t>
                    </m:r>
                  </m:e>
                  <m:sub>
                    <m:r>
                      <w:rPr>
                        <w:sz w:val="20"/>
                        <w:szCs w:val="20"/>
                        <w:lang w:val="tr-TR" w:eastAsia="tr-TR"/>
                      </w:rPr>
                      <m:t>m</m:t>
                    </m:r>
                  </m:sub>
                </m:sSub>
              </m:e>
            </m:nary>
          </m:den>
        </m:f>
      </m:oMath>
    </w:p>
    <w:p>
      <w:pPr>
        <w:pStyle w:val="BodyText"/>
        <w:spacing w:before="0" w:after="40" w:line="240" w:lineRule="auto"/>
        <w:ind w:firstLine="259"/>
      </w:pPr>
      <w:r>
        <w:rPr>
          <w:rFonts w:ascii="Times New Roman" w:hAnsi="Times New Roman" w:eastAsia="Times New Roman"/>
          <w:b w:val="0"/>
          <w:i w:val="0"/>
          <w:sz w:val="16"/>
          <w:lang w:val="tr-TR" w:eastAsia="tr-TR"/>
        </w:rPr>
        <w:t>Nihai değerlendirmede tüm metrikler aktiftir ve ağırlıklar CWLC=0.30, CAC=0.25, MDC=0.20, CTIC=0.15 ve TF=0.10'dur. Ağırlıkların toplamı 1.00'dır; bu değerler tasarım tercihleridir ve olasılık olarak yorumlanmaz.</w:t>
      </w:r>
    </w:p>
    <w:p>
      <w:pPr>
        <w:pStyle w:val="BodyText"/>
        <w:spacing w:after="40" w:line="240" w:lineRule="auto"/>
        <w:ind w:firstLine="0" w:left="173"/>
      </w:pPr>
      <m:oMath>
        <m:sSub>
          <m:e>
            <m:r>
              <w:rPr>
                <w:sz w:val="20"/>
                <w:szCs w:val="20"/>
                <w:lang w:val="tr-TR" w:eastAsia="tr-TR"/>
              </w:rPr>
              <m:t>L</m:t>
            </m:r>
          </m:e>
          <m:sub>
            <m:r>
              <w:rPr>
                <w:sz w:val="20"/>
                <w:szCs w:val="20"/>
                <w:lang w:val="tr-TR" w:eastAsia="tr-TR"/>
              </w:rPr>
              <m:t>a</m:t>
            </m:r>
          </m:sub>
        </m:sSub>
        <m:r>
          <w:rPr>
            <w:sz w:val="20"/>
            <w:szCs w:val="20"/>
            <w:lang w:val="tr-TR" w:eastAsia="tr-TR"/>
          </w:rPr>
          <m:t>=</m:t>
        </m:r>
        <m:f>
          <m:fPr>
            <m:type m:val="bar"/>
          </m:fPr>
          <m:num>
            <m:nary>
              <m:naryPr>
                <m:chr m:val="∑"/>
                <m:limLoc m:val="undOvr"/>
                <m:grow m:val="1"/>
                <m:subHide m:val="off"/>
                <m:supHide m:val="on"/>
              </m:naryPr>
              <m:sub>
                <m:r>
                  <w:rPr>
                    <w:sz w:val="20"/>
                    <w:szCs w:val="20"/>
                    <w:lang w:val="tr-TR" w:eastAsia="tr-TR"/>
                  </w:rPr>
                  <m:t>s∈</m:t>
                </m:r>
                <m:sSub>
                  <m:e>
                    <m:r>
                      <w:rPr>
                        <w:sz w:val="20"/>
                        <w:szCs w:val="20"/>
                        <w:lang w:val="tr-TR" w:eastAsia="tr-TR"/>
                      </w:rPr>
                      <m:t>S</m:t>
                    </m:r>
                  </m:e>
                  <m:sub>
                    <m:r>
                      <w:rPr>
                        <w:sz w:val="20"/>
                        <w:szCs w:val="20"/>
                        <w:lang w:val="tr-TR" w:eastAsia="tr-TR"/>
                      </w:rPr>
                      <m:t>a</m:t>
                    </m:r>
                  </m:sub>
                </m:sSub>
              </m:sub>
              <m:sup/>
              <m:e>
                <m:sSub>
                  <m:e>
                    <m:r>
                      <w:rPr>
                        <w:sz w:val="20"/>
                        <w:szCs w:val="20"/>
                        <w:lang w:val="tr-TR" w:eastAsia="tr-TR"/>
                      </w:rPr>
                      <m:t>w</m:t>
                    </m:r>
                  </m:e>
                  <m:sub>
                    <m:r>
                      <w:rPr>
                        <w:sz w:val="20"/>
                        <w:szCs w:val="20"/>
                        <w:lang w:val="tr-TR" w:eastAsia="tr-TR"/>
                      </w:rPr>
                      <m:t>as</m:t>
                    </m:r>
                  </m:sub>
                </m:sSub>
              </m:e>
            </m:nary>
            <m:sSub>
              <m:e>
                <m:r>
                  <w:rPr>
                    <w:sz w:val="20"/>
                    <w:szCs w:val="20"/>
                    <w:lang w:val="tr-TR" w:eastAsia="tr-TR"/>
                  </w:rPr>
                  <m:t>o</m:t>
                </m:r>
              </m:e>
              <m:sub>
                <m:r>
                  <w:rPr>
                    <w:sz w:val="20"/>
                    <w:szCs w:val="20"/>
                    <w:lang w:val="tr-TR" w:eastAsia="tr-TR"/>
                  </w:rPr>
                  <m:t>as</m:t>
                </m:r>
              </m:sub>
            </m:sSub>
          </m:num>
          <m:den>
            <m:nary>
              <m:naryPr>
                <m:chr m:val="∑"/>
                <m:limLoc m:val="undOvr"/>
                <m:grow m:val="1"/>
                <m:subHide m:val="off"/>
                <m:supHide m:val="on"/>
              </m:naryPr>
              <m:sub>
                <m:r>
                  <w:rPr>
                    <w:sz w:val="20"/>
                    <w:szCs w:val="20"/>
                    <w:lang w:val="tr-TR" w:eastAsia="tr-TR"/>
                  </w:rPr>
                  <m:t>s∈</m:t>
                </m:r>
                <m:sSub>
                  <m:e>
                    <m:r>
                      <w:rPr>
                        <w:sz w:val="20"/>
                        <w:szCs w:val="20"/>
                        <w:lang w:val="tr-TR" w:eastAsia="tr-TR"/>
                      </w:rPr>
                      <m:t>S</m:t>
                    </m:r>
                  </m:e>
                  <m:sub>
                    <m:r>
                      <w:rPr>
                        <w:sz w:val="20"/>
                        <w:szCs w:val="20"/>
                        <w:lang w:val="tr-TR" w:eastAsia="tr-TR"/>
                      </w:rPr>
                      <m:t>a</m:t>
                    </m:r>
                  </m:sub>
                </m:sSub>
              </m:sub>
              <m:sup/>
              <m:e>
                <m:sSub>
                  <m:e>
                    <m:r>
                      <w:rPr>
                        <w:sz w:val="20"/>
                        <w:szCs w:val="20"/>
                        <w:lang w:val="tr-TR" w:eastAsia="tr-TR"/>
                      </w:rPr>
                      <m:t>w</m:t>
                    </m:r>
                  </m:e>
                  <m:sub>
                    <m:r>
                      <w:rPr>
                        <w:sz w:val="20"/>
                        <w:szCs w:val="20"/>
                        <w:lang w:val="tr-TR" w:eastAsia="tr-TR"/>
                      </w:rPr>
                      <m:t>as</m:t>
                    </m:r>
                  </m:sub>
                </m:sSub>
              </m:e>
            </m:nary>
          </m:den>
        </m:f>
      </m:oMath>
      <w:r>
        <w:rPr>
          <w:rFonts w:ascii="Times New Roman" w:hAnsi="Times New Roman" w:eastAsia="Times New Roman"/>
          <w:i w:val="0"/>
          <w:sz w:val="18"/>
          <w:lang w:val="tr-TR" w:eastAsia="tr-TR"/>
        </w:rPr>
        <w:br/>
      </w:r>
      <m:oMath>
        <m:r>
          <m:rPr>
            <m:sty m:val="p"/>
          </m:rPr>
          <w:rPr>
            <w:sz w:val="20"/>
            <w:szCs w:val="20"/>
            <w:lang w:val="tr-TR" w:eastAsia="tr-TR"/>
          </w:rPr>
          <m:t>CWLC</m:t>
        </m:r>
        <m:r>
          <w:rPr>
            <w:sz w:val="20"/>
            <w:szCs w:val="20"/>
            <w:lang w:val="tr-TR" w:eastAsia="tr-TR"/>
          </w:rPr>
          <m:t>=100</m:t>
        </m:r>
        <m:f>
          <m:fPr>
            <m:type m:val="bar"/>
          </m:fPr>
          <m:num>
            <m:nary>
              <m:naryPr>
                <m:chr m:val="∑"/>
                <m:limLoc m:val="undOvr"/>
                <m:grow m:val="1"/>
                <m:subHide m:val="off"/>
                <m:supHide m:val="on"/>
              </m:naryPr>
              <m:sub>
                <m:r>
                  <w:rPr>
                    <w:sz w:val="20"/>
                    <w:szCs w:val="20"/>
                    <w:lang w:val="tr-TR" w:eastAsia="tr-TR"/>
                  </w:rPr>
                  <m:t>a∈</m:t>
                </m:r>
                <m:sSup>
                  <m:e>
                    <m:r>
                      <w:rPr>
                        <w:sz w:val="20"/>
                        <w:szCs w:val="20"/>
                        <w:lang w:val="tr-TR" w:eastAsia="tr-TR"/>
                      </w:rPr>
                      <m:t>A</m:t>
                    </m:r>
                  </m:e>
                  <m:sup>
                    <m:r>
                      <w:rPr>
                        <w:sz w:val="20"/>
                        <w:szCs w:val="20"/>
                        <w:lang w:val="tr-TR" w:eastAsia="tr-TR"/>
                      </w:rPr>
                      <m:t>*</m:t>
                    </m:r>
                  </m:sup>
                </m:sSup>
              </m:sub>
              <m:sup/>
              <m:e>
                <m:sSub>
                  <m:e>
                    <m:r>
                      <w:rPr>
                        <w:sz w:val="20"/>
                        <w:szCs w:val="20"/>
                        <w:lang w:val="tr-TR" w:eastAsia="tr-TR"/>
                      </w:rPr>
                      <m:t>c</m:t>
                    </m:r>
                  </m:e>
                  <m:sub>
                    <m:r>
                      <w:rPr>
                        <w:sz w:val="20"/>
                        <w:szCs w:val="20"/>
                        <w:lang w:val="tr-TR" w:eastAsia="tr-TR"/>
                      </w:rPr>
                      <m:t>a</m:t>
                    </m:r>
                  </m:sub>
                </m:sSub>
              </m:e>
            </m:nary>
            <m:sSub>
              <m:e>
                <m:r>
                  <w:rPr>
                    <w:sz w:val="20"/>
                    <w:szCs w:val="20"/>
                    <w:lang w:val="tr-TR" w:eastAsia="tr-TR"/>
                  </w:rPr>
                  <m:t>L</m:t>
                </m:r>
              </m:e>
              <m:sub>
                <m:r>
                  <w:rPr>
                    <w:sz w:val="20"/>
                    <w:szCs w:val="20"/>
                    <w:lang w:val="tr-TR" w:eastAsia="tr-TR"/>
                  </w:rPr>
                  <m:t>a</m:t>
                </m:r>
              </m:sub>
            </m:sSub>
          </m:num>
          <m:den>
            <m:nary>
              <m:naryPr>
                <m:chr m:val="∑"/>
                <m:limLoc m:val="undOvr"/>
                <m:grow m:val="1"/>
                <m:subHide m:val="off"/>
                <m:supHide m:val="on"/>
              </m:naryPr>
              <m:sub>
                <m:r>
                  <w:rPr>
                    <w:sz w:val="20"/>
                    <w:szCs w:val="20"/>
                    <w:lang w:val="tr-TR" w:eastAsia="tr-TR"/>
                  </w:rPr>
                  <m:t>a∈</m:t>
                </m:r>
                <m:sSup>
                  <m:e>
                    <m:r>
                      <w:rPr>
                        <w:sz w:val="20"/>
                        <w:szCs w:val="20"/>
                        <w:lang w:val="tr-TR" w:eastAsia="tr-TR"/>
                      </w:rPr>
                      <m:t>A</m:t>
                    </m:r>
                  </m:e>
                  <m:sup>
                    <m:r>
                      <w:rPr>
                        <w:sz w:val="20"/>
                        <w:szCs w:val="20"/>
                        <w:lang w:val="tr-TR" w:eastAsia="tr-TR"/>
                      </w:rPr>
                      <m:t>*</m:t>
                    </m:r>
                  </m:sup>
                </m:sSup>
              </m:sub>
              <m:sup/>
              <m:e>
                <m:sSub>
                  <m:e>
                    <m:r>
                      <w:rPr>
                        <w:sz w:val="20"/>
                        <w:szCs w:val="20"/>
                        <w:lang w:val="tr-TR" w:eastAsia="tr-TR"/>
                      </w:rPr>
                      <m:t>c</m:t>
                    </m:r>
                  </m:e>
                  <m:sub>
                    <m:r>
                      <w:rPr>
                        <w:sz w:val="20"/>
                        <w:szCs w:val="20"/>
                        <w:lang w:val="tr-TR" w:eastAsia="tr-TR"/>
                      </w:rPr>
                      <m:t>a</m:t>
                    </m:r>
                  </m:sub>
                </m:sSub>
              </m:e>
            </m:nary>
          </m:den>
        </m:f>
      </m:oMath>
      <w:r>
        <w:rPr>
          <w:rFonts w:ascii="Times New Roman" w:hAnsi="Times New Roman" w:eastAsia="Times New Roman"/>
          <w:i w:val="0"/>
          <w:sz w:val="18"/>
          <w:lang w:val="tr-TR" w:eastAsia="tr-TR"/>
        </w:rPr>
        <w:br/>
      </w:r>
      <w:r>
        <w:rPr>
          <w:rFonts w:ascii="Times New Roman" w:hAnsi="Times New Roman" w:eastAsia="Times New Roman"/>
          <w:i w:val="0"/>
          <w:sz w:val="18"/>
          <w:lang w:val="tr-TR" w:eastAsia="tr-TR"/>
        </w:rPr>
        <w:t>Gözlem durumu ve kaynak ağırlığı log kaynağı düzeyinde tanımlanır; varlık görünürlüğü kritikliğiyle ağırlıklandırılır.</w:t>
      </w:r>
    </w:p>
    <w:p>
      <w:pPr>
        <w:pStyle w:val="BodyText"/>
        <w:spacing w:after="40" w:line="240" w:lineRule="auto"/>
        <w:ind w:firstLine="0" w:left="173"/>
      </w:pPr>
      <m:oMath>
        <m:r>
          <m:rPr>
            <m:sty m:val="p"/>
          </m:rPr>
          <w:rPr>
            <w:sz w:val="20"/>
            <w:szCs w:val="20"/>
            <w:lang w:val="tr-TR" w:eastAsia="tr-TR"/>
          </w:rPr>
          <m:t>CAC</m:t>
        </m:r>
        <m:r>
          <w:rPr>
            <w:sz w:val="20"/>
            <w:szCs w:val="20"/>
            <w:lang w:val="tr-TR" w:eastAsia="tr-TR"/>
          </w:rPr>
          <m:t>=100</m:t>
        </m:r>
        <m:f>
          <m:fPr>
            <m:type m:val="bar"/>
          </m:fPr>
          <m:num>
            <m:nary>
              <m:naryPr>
                <m:chr m:val="∑"/>
                <m:limLoc m:val="undOvr"/>
                <m:grow m:val="1"/>
                <m:subHide m:val="off"/>
                <m:supHide m:val="on"/>
              </m:naryPr>
              <m:sub>
                <m:r>
                  <w:rPr>
                    <w:sz w:val="20"/>
                    <w:szCs w:val="20"/>
                    <w:lang w:val="tr-TR" w:eastAsia="tr-TR"/>
                  </w:rPr>
                  <m:t>c∈C</m:t>
                </m:r>
              </m:sub>
              <m:sup/>
              <m:e>
                <m:sSub>
                  <m:e>
                    <m:r>
                      <w:rPr>
                        <w:sz w:val="20"/>
                        <w:szCs w:val="20"/>
                        <w:lang w:val="tr-TR" w:eastAsia="tr-TR"/>
                      </w:rPr>
                      <m:t>w</m:t>
                    </m:r>
                  </m:e>
                  <m:sub>
                    <m:r>
                      <w:rPr>
                        <w:sz w:val="20"/>
                        <w:szCs w:val="20"/>
                        <w:lang w:val="tr-TR" w:eastAsia="tr-TR"/>
                      </w:rPr>
                      <m:t>c</m:t>
                    </m:r>
                  </m:sub>
                </m:sSub>
              </m:e>
            </m:nary>
            <m:sSub>
              <m:e>
                <m:r>
                  <w:rPr>
                    <w:sz w:val="20"/>
                    <w:szCs w:val="20"/>
                    <w:lang w:val="tr-TR" w:eastAsia="tr-TR"/>
                  </w:rPr>
                  <m:t>e</m:t>
                </m:r>
              </m:e>
              <m:sub>
                <m:r>
                  <w:rPr>
                    <w:sz w:val="20"/>
                    <w:szCs w:val="20"/>
                    <w:lang w:val="tr-TR" w:eastAsia="tr-TR"/>
                  </w:rPr>
                  <m:t>c</m:t>
                </m:r>
              </m:sub>
            </m:sSub>
            <m:sSub>
              <m:e>
                <m:r>
                  <w:rPr>
                    <w:sz w:val="20"/>
                    <w:szCs w:val="20"/>
                    <w:lang w:val="tr-TR" w:eastAsia="tr-TR"/>
                  </w:rPr>
                  <m:t>s</m:t>
                </m:r>
              </m:e>
              <m:sub>
                <m:r>
                  <w:rPr>
                    <w:sz w:val="20"/>
                    <w:szCs w:val="20"/>
                    <w:lang w:val="tr-TR" w:eastAsia="tr-TR"/>
                  </w:rPr>
                  <m:t>c</m:t>
                </m:r>
              </m:sub>
            </m:sSub>
          </m:num>
          <m:den>
            <m:nary>
              <m:naryPr>
                <m:chr m:val="∑"/>
                <m:limLoc m:val="undOvr"/>
                <m:grow m:val="1"/>
                <m:subHide m:val="off"/>
                <m:supHide m:val="on"/>
              </m:naryPr>
              <m:sub>
                <m:r>
                  <w:rPr>
                    <w:sz w:val="20"/>
                    <w:szCs w:val="20"/>
                    <w:lang w:val="tr-TR" w:eastAsia="tr-TR"/>
                  </w:rPr>
                  <m:t>c∈C</m:t>
                </m:r>
              </m:sub>
              <m:sup/>
              <m:e>
                <m:sSub>
                  <m:e>
                    <m:r>
                      <w:rPr>
                        <w:sz w:val="20"/>
                        <w:szCs w:val="20"/>
                        <w:lang w:val="tr-TR" w:eastAsia="tr-TR"/>
                      </w:rPr>
                      <m:t>w</m:t>
                    </m:r>
                  </m:e>
                  <m:sub>
                    <m:r>
                      <w:rPr>
                        <w:sz w:val="20"/>
                        <w:szCs w:val="20"/>
                        <w:lang w:val="tr-TR" w:eastAsia="tr-TR"/>
                      </w:rPr>
                      <m:t>c</m:t>
                    </m:r>
                  </m:sub>
                </m:sSub>
              </m:e>
            </m:nary>
            <m:sSub>
              <m:e>
                <m:r>
                  <w:rPr>
                    <w:sz w:val="20"/>
                    <w:szCs w:val="20"/>
                    <w:lang w:val="tr-TR" w:eastAsia="tr-TR"/>
                  </w:rPr>
                  <m:t>e</m:t>
                </m:r>
              </m:e>
              <m:sub>
                <m:r>
                  <w:rPr>
                    <w:sz w:val="20"/>
                    <w:szCs w:val="20"/>
                    <w:lang w:val="tr-TR" w:eastAsia="tr-TR"/>
                  </w:rPr>
                  <m:t>c</m:t>
                </m:r>
              </m:sub>
            </m:sSub>
          </m:den>
        </m:f>
      </m:oMath>
      <w:r>
        <w:rPr>
          <w:rFonts w:ascii="Times New Roman" w:hAnsi="Times New Roman" w:eastAsia="Times New Roman"/>
          <w:i w:val="0"/>
          <w:sz w:val="18"/>
          <w:lang w:val="tr-TR" w:eastAsia="tr-TR"/>
        </w:rPr>
        <w:br/>
      </w:r>
      <w:r>
        <w:rPr>
          <w:rFonts w:ascii="Times New Roman" w:hAnsi="Times New Roman" w:eastAsia="Times New Roman"/>
          <w:i w:val="0"/>
          <w:sz w:val="18"/>
          <w:lang w:val="tr-TR" w:eastAsia="tr-TR"/>
        </w:rPr>
        <w:t>Yalnızca etkin kontroller pay ve paydaya girer; disabled legacy kontroller CAC paydasından çıkarılır.</w:t>
      </w:r>
    </w:p>
    <w:p>
      <w:pPr>
        <w:pStyle w:val="BodyText"/>
        <w:spacing w:after="40" w:line="240" w:lineRule="auto"/>
        <w:ind w:firstLine="0" w:left="173"/>
      </w:pPr>
      <m:oMath>
        <m:r>
          <m:rPr>
            <m:sty m:val="p"/>
          </m:rPr>
          <w:rPr>
            <w:sz w:val="20"/>
            <w:szCs w:val="20"/>
            <w:lang w:val="tr-TR" w:eastAsia="tr-TR"/>
          </w:rPr>
          <m:t>MDC</m:t>
        </m:r>
        <m:r>
          <w:rPr>
            <w:sz w:val="20"/>
            <w:szCs w:val="20"/>
            <w:lang w:val="tr-TR" w:eastAsia="tr-TR"/>
          </w:rPr>
          <m:t>=100</m:t>
        </m:r>
        <m:f>
          <m:fPr>
            <m:type m:val="bar"/>
          </m:fPr>
          <m:num>
            <m:nary>
              <m:naryPr>
                <m:chr m:val="∑"/>
                <m:limLoc m:val="undOvr"/>
                <m:grow m:val="1"/>
                <m:subHide m:val="off"/>
                <m:supHide m:val="on"/>
              </m:naryPr>
              <m:sub>
                <m:r>
                  <w:rPr>
                    <w:sz w:val="20"/>
                    <w:szCs w:val="20"/>
                    <w:lang w:val="tr-TR" w:eastAsia="tr-TR"/>
                  </w:rPr>
                  <m:t>t∈</m:t>
                </m:r>
                <m:sSub>
                  <m:e>
                    <m:r>
                      <w:rPr>
                        <w:sz w:val="20"/>
                        <w:szCs w:val="20"/>
                        <w:lang w:val="tr-TR" w:eastAsia="tr-TR"/>
                      </w:rPr>
                      <m:t>T</m:t>
                    </m:r>
                  </m:e>
                  <m:sub>
                    <m:r>
                      <m:rPr>
                        <m:nor/>
                      </m:rPr>
                      <w:rPr>
                        <w:sz w:val="20"/>
                        <w:szCs w:val="20"/>
                        <w:lang w:val="tr-TR" w:eastAsia="tr-TR"/>
                      </w:rPr>
                      <m:t>scope</m:t>
                    </m:r>
                  </m:sub>
                </m:sSub>
              </m:sub>
              <m:sup/>
              <m:e>
                <m:sSub>
                  <m:e>
                    <m:r>
                      <w:rPr>
                        <w:sz w:val="20"/>
                        <w:szCs w:val="20"/>
                        <w:lang w:val="tr-TR" w:eastAsia="tr-TR"/>
                      </w:rPr>
                      <m:t>z</m:t>
                    </m:r>
                  </m:e>
                  <m:sub>
                    <m:r>
                      <w:rPr>
                        <w:sz w:val="20"/>
                        <w:szCs w:val="20"/>
                        <w:lang w:val="tr-TR" w:eastAsia="tr-TR"/>
                      </w:rPr>
                      <m:t>t</m:t>
                    </m:r>
                  </m:sub>
                </m:sSub>
              </m:e>
            </m:nary>
          </m:num>
          <m:den>
            <m:d>
              <m:dPr>
                <m:begChr m:val="|"/>
                <m:sepChr m:val=""/>
                <m:endChr m:val="|"/>
              </m:dPr>
              <m:e>
                <m:sSub>
                  <m:e>
                    <m:r>
                      <w:rPr>
                        <w:sz w:val="20"/>
                        <w:szCs w:val="20"/>
                        <w:lang w:val="tr-TR" w:eastAsia="tr-TR"/>
                      </w:rPr>
                      <m:t>T</m:t>
                    </m:r>
                  </m:e>
                  <m:sub>
                    <m:r>
                      <m:rPr>
                        <m:nor/>
                      </m:rPr>
                      <w:rPr>
                        <w:sz w:val="20"/>
                        <w:szCs w:val="20"/>
                        <w:lang w:val="tr-TR" w:eastAsia="tr-TR"/>
                      </w:rPr>
                      <m:t>scope</m:t>
                    </m:r>
                  </m:sub>
                </m:sSub>
              </m:e>
            </m:d>
          </m:den>
        </m:f>
      </m:oMath>
      <w:r>
        <w:rPr>
          <w:rFonts w:ascii="Times New Roman" w:hAnsi="Times New Roman" w:eastAsia="Times New Roman"/>
          <w:i w:val="0"/>
          <w:sz w:val="18"/>
          <w:lang w:val="tr-TR" w:eastAsia="tr-TR"/>
        </w:rPr>
        <w:br/>
      </w:r>
      <w:r>
        <w:rPr>
          <w:rFonts w:ascii="Times New Roman" w:hAnsi="Times New Roman" w:eastAsia="Times New Roman"/>
          <w:i w:val="0"/>
          <w:sz w:val="18"/>
          <w:lang w:val="tr-TR" w:eastAsia="tr-TR"/>
        </w:rPr>
        <w:t>MDC, beyan edilmiş kapsam içindeki tekniklerin sayısal kapanışıdır; yayımlanan priority alanı skor ağırlığı olarak kullanılmaz.</w:t>
      </w:r>
    </w:p>
    <w:p>
      <w:pPr>
        <w:pStyle w:val="BodyText"/>
        <w:spacing w:before="0" w:after="40" w:line="240" w:lineRule="auto"/>
        <w:jc w:val="center"/>
      </w:pPr>
      <w:r>
        <w:rPr>
          <w:rFonts w:ascii="Times New Roman" w:hAnsi="Times New Roman" w:eastAsia="Times New Roman"/>
          <w:sz w:val="16"/>
        </w:rPr>
        <w:drawing>
          <wp:inline xmlns:a="http://schemas.openxmlformats.org/drawingml/2006/main" xmlns:pic="http://schemas.openxmlformats.org/drawingml/2006/picture">
            <wp:extent cx="2743200" cy="359568"/>
            <wp:docPr id="2" name="Picture 2"/>
            <wp:cNvGraphicFramePr>
              <a:graphicFrameLocks noChangeAspect="1"/>
            </wp:cNvGraphicFramePr>
            <a:graphic>
              <a:graphicData uri="http://schemas.openxmlformats.org/drawingml/2006/picture">
                <pic:pic>
                  <pic:nvPicPr>
                    <pic:cNvPr id="0" name="ctic_equation.png"/>
                    <pic:cNvPicPr/>
                  </pic:nvPicPr>
                  <pic:blipFill>
                    <a:blip r:embed="rId13"/>
                    <a:stretch>
                      <a:fillRect/>
                    </a:stretch>
                  </pic:blipFill>
                  <pic:spPr>
                    <a:xfrm>
                      <a:off x="0" y="0"/>
                      <a:ext cx="2743200" cy="359568"/>
                    </a:xfrm>
                    <a:prstGeom prst="rect"/>
                  </pic:spPr>
                </pic:pic>
              </a:graphicData>
            </a:graphic>
          </wp:inline>
        </w:drawing>
      </w:r>
    </w:p>
    <w:p>
      <w:pPr>
        <w:pStyle w:val="BodyText"/>
        <w:spacing w:after="40" w:line="240" w:lineRule="auto"/>
        <w:ind w:firstLine="0" w:left="173"/>
      </w:pPr>
      <w:r>
        <w:rPr>
          <w:rFonts w:ascii="Times New Roman" w:hAnsi="Times New Roman" w:eastAsia="Times New Roman"/>
          <w:i w:val="0"/>
          <w:sz w:val="18"/>
          <w:lang w:val="tr-TR" w:eastAsia="tr-TR"/>
        </w:rPr>
        <w:t>Bayraklar sırasıyla lookup icrası, MISP eşleşmesi, Wazuh alarmı ve ATT&amp;CK eşlemesidir. Lookup bayrağının beklenti alanından başlatılması bağımsız sorgu-icrası kanıtı değildir.</w:t>
      </w:r>
    </w:p>
    <w:p>
      <w:pPr>
        <w:pStyle w:val="BodyText"/>
        <w:spacing w:after="40" w:line="240" w:lineRule="auto"/>
        <w:ind w:firstLine="0" w:left="173"/>
      </w:pPr>
      <m:oMath>
        <m:r>
          <m:rPr>
            <m:sty m:val="p"/>
          </m:rPr>
          <w:rPr>
            <w:sz w:val="20"/>
            <w:szCs w:val="20"/>
            <w:lang w:val="tr-TR" w:eastAsia="tr-TR"/>
          </w:rPr>
          <m:t>TF</m:t>
        </m:r>
        <m:r>
          <w:rPr>
            <w:sz w:val="20"/>
            <w:szCs w:val="20"/>
            <w:lang w:val="tr-TR" w:eastAsia="tr-TR"/>
          </w:rPr>
          <m:t>(Δ,E)={</m:t>
        </m:r>
        <m:m>
          <m:mPr>
            <m:baseJc m:val="center"/>
            <m:plcHide m:val="on"/>
            <m:mcs>
              <m:mc>
                <m:mcPr>
                  <m:count m:val="2"/>
                  <m:mcJc m:val="center"/>
                </m:mcPr>
              </m:mc>
            </m:mcs>
          </m:mPr>
          <m:mr>
            <m:e>
              <m:r>
                <w:rPr>
                  <w:sz w:val="20"/>
                  <w:szCs w:val="20"/>
                  <w:lang w:val="tr-TR" w:eastAsia="tr-TR"/>
                </w:rPr>
                <m:t>100</m:t>
              </m:r>
            </m:e>
            <m:e>
              <m:r>
                <w:rPr>
                  <w:sz w:val="20"/>
                  <w:szCs w:val="20"/>
                  <w:lang w:val="tr-TR" w:eastAsia="tr-TR"/>
                </w:rPr>
                <m:t>E=1∧Δ≤60</m:t>
              </m:r>
            </m:e>
          </m:mr>
          <m:mr>
            <m:e>
              <m:r>
                <w:rPr>
                  <w:sz w:val="20"/>
                  <w:szCs w:val="20"/>
                  <w:lang w:val="tr-TR" w:eastAsia="tr-TR"/>
                </w:rPr>
                <m:t>80</m:t>
              </m:r>
            </m:e>
            <m:e>
              <m:r>
                <w:rPr>
                  <w:sz w:val="20"/>
                  <w:szCs w:val="20"/>
                  <w:lang w:val="tr-TR" w:eastAsia="tr-TR"/>
                </w:rPr>
                <m:t>E=1∧60&lt;Δ≤1440</m:t>
              </m:r>
            </m:e>
          </m:mr>
          <m:mr>
            <m:e>
              <m:r>
                <w:rPr>
                  <w:sz w:val="20"/>
                  <w:szCs w:val="20"/>
                  <w:lang w:val="tr-TR" w:eastAsia="tr-TR"/>
                </w:rPr>
                <m:t>50</m:t>
              </m:r>
            </m:e>
            <m:e>
              <m:r>
                <w:rPr>
                  <w:sz w:val="20"/>
                  <w:szCs w:val="20"/>
                  <w:lang w:val="tr-TR" w:eastAsia="tr-TR"/>
                </w:rPr>
                <m:t>E=1∧Δ&gt;1440</m:t>
              </m:r>
            </m:e>
          </m:mr>
          <m:mr>
            <m:e>
              <m:r>
                <w:rPr>
                  <w:sz w:val="20"/>
                  <w:szCs w:val="20"/>
                  <w:lang w:val="tr-TR" w:eastAsia="tr-TR"/>
                </w:rPr>
                <m:t>0</m:t>
              </m:r>
            </m:e>
            <m:e>
              <m:r>
                <w:rPr>
                  <w:sz w:val="20"/>
                  <w:szCs w:val="20"/>
                  <w:lang w:val="tr-TR" w:eastAsia="tr-TR"/>
                </w:rPr>
                <m:t>E=0</m:t>
              </m:r>
            </m:e>
          </m:mr>
        </m:m>
      </m:oMath>
      <w:r>
        <w:rPr>
          <w:rFonts w:ascii="Times New Roman" w:hAnsi="Times New Roman" w:eastAsia="Times New Roman"/>
          <w:i w:val="0"/>
          <w:sz w:val="18"/>
          <w:lang w:val="tr-TR" w:eastAsia="tr-TR"/>
        </w:rPr>
        <w:br/>
      </w:r>
      <w:r>
        <w:rPr>
          <w:rFonts w:ascii="Times New Roman" w:hAnsi="Times New Roman" w:eastAsia="Times New Roman"/>
          <w:i w:val="0"/>
          <w:sz w:val="18"/>
          <w:lang w:val="tr-TR" w:eastAsia="tr-TR"/>
        </w:rPr>
        <w:t>E en az bir olayın varlığını, Δ ise skor zamanı ile tüm kaynaklar içindeki en yeni olay arasındaki dakika farkını gösterir. TF kaynak başına tazelik ölçmez.</w:t>
      </w:r>
    </w:p>
    <w:p>
      <w:pPr>
        <w:pStyle w:val="Heading2"/>
        <w:spacing w:before="120" w:after="60"/>
        <w:ind w:firstLine="0"/>
        <w:jc w:val="left"/>
      </w:pPr>
      <w:r>
        <w:t>C. Model Tasarımı ve Standartlarla İlişkisi</w:t>
      </w:r>
    </w:p>
    <w:p>
      <w:pPr>
        <w:pStyle w:val="BodyText"/>
        <w:spacing w:before="0" w:after="40" w:line="240" w:lineRule="auto"/>
        <w:ind w:firstLine="259"/>
      </w:pPr>
      <w:r>
        <w:rPr>
          <w:rFonts w:ascii="Times New Roman" w:hAnsi="Times New Roman" w:eastAsia="Times New Roman"/>
        </w:rPr>
        <w:t>Bileşenler, güvenlik ölçüm literatüründeki açık amaç-kapsam-veri-hesaplama-yorum disiplini kullanılarak operasyonelleştirilmiştir [26], [27]. ISO/IEC 27004 ölçme, analiz ve değerlendirmeyi yönetim sistemi içinde tanımlı yöntemlerle ilişkilendirirken [28], NIST SP 800-137 ve 800-137A güncel varlık ve kontrol kanıtının sürekli izleme programları içinde ele alınmasını önerir [4], [33]. Çalışmanın katkısı yeni bir aritmetik operatör önermek değil; SIEM-CTI alanında ölçülebilir kanıt birimlerini, uygulanabilirlik kurallarını, paydaları, köken bağlarını ve yayımlanabilirlik semantiğini birlikte tanımlamaktır.</w:t>
      </w:r>
    </w:p>
    <w:p>
      <w:pPr>
        <w:pStyle w:val="BodyText"/>
        <w:spacing w:after="40" w:line="240" w:lineRule="auto"/>
      </w:pPr>
      <w:r>
        <w:rPr>
          <w:rFonts w:ascii="Times New Roman" w:hAnsi="Times New Roman" w:eastAsia="Times New Roman"/>
        </w:rPr>
        <w:t>Nihai birleşim, çok ölçütlü karar verme literatüründeki basit toplamsal ağırlıklandırmanın şeffaf bir uyarlamasıdır [34]. Tüm bileşenler ortak 0-100 ölçeğine getirilir, monotonluk açıktır ve bileşen vektörü birleşik skorun yanında yayımlanır. CWLC=0,30, CAC=0,25, MDC=0,20, CTIC=0,15 ve TF=0,10 değerleri bu laboratuvarın önceden açıklanmış öncelik parametreleridir; istatistiksel olarak öğrenilmiş, olasılıksal veya kurumlar arasında evrensel olarak optimal ağırlıklar değildir.</w:t>
      </w:r>
    </w:p>
    <w:p>
      <w:pPr>
        <w:pStyle w:val="BodyText"/>
        <w:spacing w:after="40" w:line="240" w:lineRule="auto"/>
      </w:pPr>
      <w:r>
        <w:rPr>
          <w:rFonts w:ascii="Times New Roman" w:hAnsi="Times New Roman" w:eastAsia="Times New Roman"/>
          <w:sz w:val="16"/>
        </w:rPr>
        <w:t>Pay ve paydaların ayrı yayımlanması ölçümün denetlenebilirliğini güçlendirir. Bir bileşenin N/A olması, gerekli kanıtın eksik olmasıyla aynı değildir: gerçekten uygulanabilir olmayan bir bileşen aktif ağırlık kümesinden çıkarılırken, başarısız sorgu, eksik dosya veya şema bozulması INCOMPLETE/INVALID sonucu ya da reason-code boşluğu olarak korunur [26]–[28], [33].</w:t>
      </w:r>
    </w:p>
    <w:p>
      <w:pPr>
        <w:pStyle w:val="Heading3"/>
      </w:pPr>
      <w:r>
        <w:rPr>
          <w:rFonts w:ascii="Times New Roman" w:hAnsi="Times New Roman" w:eastAsia="Times New Roman"/>
          <w:sz w:val="16"/>
        </w:rPr>
        <w:t>1) Bileşen Bazında Kaynak Eşlemesi</w:t>
      </w:r>
    </w:p>
    <w:p>
      <w:pPr>
        <w:pStyle w:val="BodyText"/>
        <w:spacing w:after="40" w:line="240" w:lineRule="auto"/>
      </w:pPr>
      <w:r>
        <w:rPr>
          <w:rFonts w:ascii="Times New Roman" w:hAnsi="Times New Roman" w:eastAsia="Times New Roman"/>
          <w:b/>
          <w:sz w:val="16"/>
        </w:rPr>
        <w:t>CWLC—</w:t>
      </w:r>
      <w:r>
        <w:rPr>
          <w:rFonts w:ascii="Times New Roman" w:hAnsi="Times New Roman" w:eastAsia="Times New Roman"/>
          <w:sz w:val="16"/>
        </w:rPr>
        <w:t>Kritiklik ve kaynak ağırlıklarıyla beklenen varlık-log çifti kapanışını ölçer. Ölçünün kapsam, veri kaynağı ve hesaplama yöntemiyle açık tanımlanması NIST ölçüm yaklaşımına; varlık görünürlüğü ise sürekli izleme yaklaşımına dayanır [4], [26], [27], [33]. Kritiklik katsayıları, kaynak ağırlıkları ve tam pay/payda yapısı SACI'ye özgüdür.</w:t>
      </w:r>
    </w:p>
    <w:p>
      <w:pPr>
        <w:pStyle w:val="BodyText"/>
        <w:spacing w:after="40" w:line="240" w:lineRule="auto"/>
      </w:pPr>
      <w:r>
        <w:rPr>
          <w:rFonts w:ascii="Times New Roman" w:hAnsi="Times New Roman" w:eastAsia="Times New Roman"/>
          <w:b/>
          <w:sz w:val="16"/>
        </w:rPr>
        <w:t>CAC—</w:t>
      </w:r>
      <w:r>
        <w:rPr>
          <w:rFonts w:ascii="Times New Roman" w:hAnsi="Times New Roman" w:eastAsia="Times New Roman"/>
          <w:sz w:val="16"/>
        </w:rPr>
        <w:t>Yalnız enabled ve applicable kontrollerin gerçek alarm veya kanıt görülme oranıdır. Kontrol etkinliğinin sürekli gözlenmesi NIST ISCM yaklaşımıyla; decoder-kural-alert zinciri Wazuh veri analiz ve alert yönetimiyle ilişkilidir [4], [33], [38], [39]. Disabled legacy kontrollerin paydadan çıkarılması bu çalışmanın sürümlü kapsam politikasıdır.</w:t>
      </w:r>
    </w:p>
    <w:p>
      <w:pPr>
        <w:pStyle w:val="BodyText"/>
        <w:spacing w:after="40" w:line="240" w:lineRule="auto"/>
      </w:pPr>
      <w:r>
        <w:rPr>
          <w:rFonts w:ascii="Times New Roman" w:hAnsi="Times New Roman" w:eastAsia="Times New Roman"/>
          <w:b/>
          <w:sz w:val="16"/>
        </w:rPr>
        <w:t>MDC—</w:t>
      </w:r>
      <w:r>
        <w:rPr>
          <w:rFonts w:ascii="Times New Roman" w:hAnsi="Times New Roman" w:eastAsia="Times New Roman"/>
          <w:sz w:val="16"/>
        </w:rPr>
        <w:t>Önceden beyan edilen ATT&amp;CK alt kümesindeki tekniklerin sayısal kapanışıdır. ATT&amp;CK teknik taksonomisi dış kaynaktır; seçili teknik alt kümesi, coverage paydası ve priority alanının ağırlık olarak kullanılmaması SACI tasarım kararıdır [1], [2], [6], [7], [25].</w:t>
      </w:r>
    </w:p>
    <w:p>
      <w:pPr>
        <w:pStyle w:val="BodyText"/>
        <w:spacing w:after="40" w:line="240" w:lineRule="auto"/>
      </w:pPr>
      <w:r>
        <w:rPr>
          <w:rFonts w:ascii="Times New Roman" w:hAnsi="Times New Roman" w:eastAsia="Times New Roman"/>
        </w:rPr>
        <w:t>CTIC—Yayımlanan şema altında IOC başına yapılandırılmış lookup, eşleşme, Wazuh alarmı ve ATT&amp;CK bağlamı bayraklarının kapanışıdır. Teknoloji semantiği STIX/TAXII, MISP ve Wazuh entegrasyon dokümantasyonuna dayanır [3], [11], [18]-[20], [29], [30]. Mevcut lookup alanı bağımsız HTTP request-response kanıtından değil beklenti alanından başlatıldığı için CTIC, tam sorgu kökeni olarak değil yapılandırılmış iş akışı kapanışı olarak yorumlanır.</w:t>
      </w:r>
    </w:p>
    <w:p>
      <w:pPr>
        <w:pStyle w:val="BodyText"/>
        <w:spacing w:after="40" w:line="240" w:lineRule="auto"/>
      </w:pPr>
      <w:r>
        <w:rPr>
          <w:rFonts w:ascii="Times New Roman" w:hAnsi="Times New Roman" w:eastAsia="Times New Roman"/>
        </w:rPr>
        <w:t>TF—Skor zamanı ile tüm kaynaklar içindeki en yeni gözlem arasındaki yaşın kademeli puanlanmasıdır. Sürekli izleme güncel kanıt gereksinimini dayanaklandırır [4], [33]; 60 ve 1440 dakikalık eşikler çalışma parametresidir. Bu uygulama kaynak başına tazelik değil, küresel en-yeni-olay göstergesidir ve bir taze akışın eski akışları maskelemesi olasılığı geçerlik tehdidi olarak raporlanır.</w:t>
      </w:r>
    </w:p>
    <w:p>
      <w:pPr>
        <w:pStyle w:val="BodyText"/>
        <w:spacing w:after="40" w:line="240" w:lineRule="auto"/>
      </w:pPr>
      <w:r>
        <w:rPr>
          <w:rFonts w:ascii="Times New Roman" w:hAnsi="Times New Roman" w:eastAsia="Times New Roman"/>
          <w:b/>
          <w:sz w:val="16"/>
        </w:rPr>
        <w:t>SACI—</w:t>
      </w:r>
      <w:r>
        <w:rPr>
          <w:rFonts w:ascii="Times New Roman" w:hAnsi="Times New Roman" w:eastAsia="Times New Roman"/>
          <w:sz w:val="16"/>
        </w:rPr>
        <w:t>Uygulanabilir bileşenlerin aktif ağırlıklarla normalize edilmiş ağırlıklı toplamıdır. Ağırlıklı birleştirme genel MCDM yaklaşımıyla uyumludur [34]; bileşen seçimi, ağırlık değerleri, N/A renormalizasyonu ve fail-closed yayın semantiği bu çalışmaya özgüdür [26]–[28].</w:t>
      </w:r>
    </w:p>
    <w:p>
      <w:pPr>
        <w:pStyle w:val="BodyText"/>
        <w:spacing w:after="40" w:line="240" w:lineRule="auto"/>
      </w:pPr>
      <w:r>
        <w:rPr>
          <w:rFonts w:ascii="Times New Roman" w:hAnsi="Times New Roman" w:eastAsia="Times New Roman"/>
          <w:sz w:val="16"/>
        </w:rPr>
        <w:t>Bu ayrım nedeniyle kaynakça, formüllerin kopyalandığı bir köken listesi değil; ölçüm tasarımının hangi standart, taksonomi, protokol ve ürün semantiğine dayandığını gösteren bir yöntemsel izlenebilirlik katmanıdır.</w:t>
      </w:r>
    </w:p>
    <w:p>
      <w:pPr>
        <w:pStyle w:val="Heading2"/>
        <w:spacing w:before="120" w:after="60"/>
        <w:ind w:firstLine="0"/>
        <w:jc w:val="left"/>
      </w:pPr>
      <w:r>
        <w:rPr>
          <w:rFonts w:ascii="Times New Roman" w:hAnsi="Times New Roman" w:eastAsia="Times New Roman"/>
          <w:b/>
          <w:i w:val="0"/>
          <w:sz w:val="20"/>
          <w:lang w:val="tr-TR" w:eastAsia="tr-TR"/>
        </w:rPr>
        <w:t>D. Açıklanabilirlik Katmanı</w:t>
      </w:r>
    </w:p>
    <w:p>
      <w:pPr>
        <w:pStyle w:val="BodyText"/>
        <w:spacing w:before="0" w:after="40" w:line="240" w:lineRule="auto"/>
        <w:ind w:firstLine="259"/>
      </w:pPr>
      <w:r>
        <w:rPr>
          <w:rFonts w:ascii="Times New Roman" w:hAnsi="Times New Roman" w:eastAsia="Times New Roman"/>
          <w:b w:val="0"/>
          <w:i w:val="0"/>
          <w:sz w:val="16"/>
          <w:lang w:val="tr-TR" w:eastAsia="tr-TR"/>
        </w:rPr>
        <w:t>Açıklanabilirlik katmanı, bileşen skorlarını bunları üreten varlık, kaynak, kontrol, kural, teknik ve CTI ilişkileriyle birlikte sunar. reason-code mekanizması kapanmayan bir bileşen için deterministik açıklama üretebilir; böylece sonuç yalnızca tek bir toplam puana indirgenmez.</w:t>
      </w:r>
    </w:p>
    <w:p>
      <w:pPr>
        <w:pStyle w:val="BodyText"/>
        <w:spacing w:before="0" w:after="40" w:line="240" w:lineRule="auto"/>
        <w:ind w:firstLine="259"/>
      </w:pPr>
      <w:r>
        <w:rPr>
          <w:rFonts w:ascii="Times New Roman" w:hAnsi="Times New Roman" w:eastAsia="Times New Roman"/>
          <w:b w:val="0"/>
          <w:i w:val="0"/>
          <w:sz w:val="16"/>
          <w:lang w:val="tr-TR" w:eastAsia="tr-TR"/>
        </w:rPr>
        <w:t>Nihai reason-code çıktısının boş olması, bu çalıştırmada betiklenmiş bir skor boşluğu oluşmadığını gösterir; açıklama mekanizmasının veya veri-bütünlüğü sınırlamalarının bulunmadığı anlamına gelmez. Sayısal sonuç LLM tarafından üretilmez; doğal dil katmanı yalnızca doğrulanmış tablo ve graf kanıtını özetleyebilir.</w:t>
      </w:r>
    </w:p>
    <w:p>
      <w:pPr>
        <w:pStyle w:val="Heading2"/>
        <w:spacing w:before="120" w:after="60"/>
        <w:ind w:firstLine="0"/>
        <w:jc w:val="left"/>
      </w:pPr>
      <w:r>
        <w:rPr>
          <w:rFonts w:ascii="Times New Roman" w:hAnsi="Times New Roman" w:eastAsia="Times New Roman"/>
          <w:b/>
          <w:i w:val="0"/>
          <w:sz w:val="20"/>
          <w:lang w:val="tr-TR" w:eastAsia="tr-TR"/>
        </w:rPr>
        <w:t>E. Skorlama Süreci</w:t>
      </w:r>
    </w:p>
    <w:p>
      <w:pPr>
        <w:pStyle w:val="BodyText"/>
        <w:spacing w:before="0" w:after="40" w:line="240" w:lineRule="auto"/>
        <w:ind w:firstLine="259"/>
      </w:pPr>
      <w:r>
        <w:rPr>
          <w:rFonts w:ascii="Times New Roman" w:hAnsi="Times New Roman" w:eastAsia="Times New Roman"/>
          <w:b w:val="0"/>
          <w:i w:val="0"/>
          <w:sz w:val="16"/>
          <w:lang w:val="tr-TR" w:eastAsia="tr-TR"/>
        </w:rPr>
        <w:t>İşlem hattı beklenen kapsamı tanımlar, türetilmiş gözlem tablolarını oluşturur, beş bileşeni hesaplar, tiplenmiş grafı üretir ve sonuçları bütünlük denetimiyle birlikte yayımlar. Yayımlanan skorlayıcı aktif metrikleri normalize eder; graf oluşturucu aynı kapsam tablolarından izlenebilir ilişki satırları türetir.</w:t>
      </w:r>
    </w:p>
    <w:p>
      <w:pPr>
        <w:pStyle w:val="BodyText"/>
        <w:spacing w:after="40" w:line="240" w:lineRule="auto"/>
        <w:ind w:firstLine="0" w:left="173"/>
      </w:pPr>
      <w:r>
        <w:rPr>
          <w:rFonts w:ascii="Times New Roman" w:hAnsi="Times New Roman" w:eastAsia="Times New Roman"/>
          <w:b/>
          <w:i w:val="0"/>
          <w:sz w:val="18"/>
          <w:lang w:val="tr-TR" w:eastAsia="tr-TR"/>
        </w:rPr>
        <w:t>Adım 1: Altı varlık ve bunlara ait beklenen varlık-log kaynağı çiftleriyle değerlendirme kapsamını tanımla.</w:t>
      </w:r>
    </w:p>
    <w:p>
      <w:pPr>
        <w:pStyle w:val="BodyText"/>
        <w:spacing w:after="40" w:line="240" w:lineRule="auto"/>
        <w:ind w:firstLine="0" w:left="173"/>
      </w:pPr>
      <w:r>
        <w:rPr>
          <w:rFonts w:ascii="Times New Roman" w:hAnsi="Times New Roman" w:eastAsia="Times New Roman"/>
          <w:b/>
          <w:i w:val="0"/>
          <w:sz w:val="18"/>
          <w:lang w:val="tr-TR" w:eastAsia="tr-TR"/>
        </w:rPr>
        <w:t>Adım 2: Log kaynağı, etkin kontrol, ATT&amp;CK tekniği ve iki sentetik IOC için gözlem/bayrak tablolarını oluştur.</w:t>
      </w:r>
    </w:p>
    <w:p>
      <w:pPr>
        <w:pStyle w:val="BodyText"/>
        <w:spacing w:after="40" w:line="240" w:lineRule="auto"/>
        <w:ind w:firstLine="0" w:left="173"/>
      </w:pPr>
      <w:r>
        <w:rPr>
          <w:rFonts w:ascii="Times New Roman" w:hAnsi="Times New Roman" w:eastAsia="Times New Roman"/>
          <w:b/>
          <w:i w:val="0"/>
          <w:sz w:val="18"/>
          <w:lang w:val="tr-TR" w:eastAsia="tr-TR"/>
        </w:rPr>
        <w:t>Adım 3: CWLC, CAC, MDC, CTIC ve TF bileşenlerini uygulanmış formüllerle hesapla.</w:t>
      </w:r>
    </w:p>
    <w:p>
      <w:pPr>
        <w:pStyle w:val="BodyText"/>
        <w:spacing w:after="40" w:line="240" w:lineRule="auto"/>
        <w:ind w:firstLine="0" w:left="173"/>
      </w:pPr>
      <w:r>
        <w:rPr>
          <w:rFonts w:ascii="Times New Roman" w:hAnsi="Times New Roman" w:eastAsia="Times New Roman"/>
          <w:b/>
          <w:i w:val="0"/>
          <w:sz w:val="18"/>
          <w:lang w:val="tr-TR" w:eastAsia="tr-TR"/>
        </w:rPr>
        <w:t>Adım 4: Düğüm ve ilişki satırlarını üret; observed, evidence_id, evidence_origin ve mapping_basis alanlarını taşı.</w:t>
      </w:r>
    </w:p>
    <w:p>
      <w:pPr>
        <w:pStyle w:val="BodyText"/>
        <w:spacing w:after="40" w:line="240" w:lineRule="auto"/>
        <w:ind w:firstLine="0" w:left="173"/>
      </w:pPr>
      <w:r>
        <w:rPr>
          <w:rFonts w:ascii="Times New Roman" w:hAnsi="Times New Roman" w:eastAsia="Times New Roman"/>
          <w:b/>
          <w:i w:val="0"/>
          <w:sz w:val="18"/>
          <w:lang w:val="tr-TR" w:eastAsia="tr-TR"/>
        </w:rPr>
        <w:t>Adım 5: Uç referanslarını, eşleme tutarlılığını, paralel üçlüleri, izole düğüm politikasını, CSV-CYJS eşleşmesini ve reason-code çıktısını denetle; ihlallerde veri setini INVALID veya INCOMPLETE olarak işaretle.</w:t>
      </w:r>
    </w:p>
    <w:p>
      <w:pPr>
        <w:pStyle w:val="BodyText"/>
        <w:spacing w:after="40" w:line="240" w:lineRule="auto"/>
        <w:ind w:firstLine="0" w:left="173"/>
      </w:pPr>
      <w:r>
        <w:rPr>
          <w:rFonts w:ascii="Times New Roman" w:hAnsi="Times New Roman" w:eastAsia="Times New Roman"/>
          <w:b/>
          <w:i w:val="0"/>
          <w:sz w:val="18"/>
          <w:lang w:val="tr-TR" w:eastAsia="tr-TR"/>
        </w:rPr>
        <w:t>Adım 6: Aktif ağırlıkları yeniden normalize ederek SACI skorunu üret; yayın kapısını yalnız bütünlük durumu VALID olduğunda aç ve makinece okunabilir araştırma ekini yayımla.</w:t>
      </w:r>
    </w:p>
    <w:p>
      <w:pPr>
        <w:pStyle w:val="Heading2"/>
      </w:pPr>
      <w:r>
        <w:t>F. Bütünlük Kapısı ve Yayın Durumları</w:t>
      </w:r>
    </w:p>
    <w:p>
      <w:pPr>
        <w:pStyle w:val="BodyText"/>
        <w:spacing w:after="40" w:line="240" w:lineRule="auto"/>
      </w:pPr>
      <w:r>
        <w:rPr>
          <w:rFonts w:ascii="Times New Roman" w:hAnsi="Times New Roman" w:eastAsia="Times New Roman"/>
          <w:sz w:val="16"/>
        </w:rPr>
        <w:t>İlişki kapanışı ile graf bütünlüğü farklı değişkenlerdir. İlişki kapanışı, kapsamda tanımlanan kenar satırlarının observed=1 olup olmadığını ölçer. Graf bütünlüğü ise bu satırların geçerli düğümlere bağlanıp bağlanmadığını, eşlemelerin çelişip çelişmediğini, makinece okunabilir temsillerin birbiriyle uyumunu ve istisnaların politika tarafından açıklanıp açıklanmadığını değerlendirir. Bu nedenle C_R=|E_obs|/|E_exp| biçimindeki kapanış oranının 1 olması, tek başına G=(V,E) veri yapısının geçerli olduğunu göstermez.</w:t>
      </w:r>
    </w:p>
    <w:p>
      <w:pPr>
        <w:pStyle w:val="BodyText"/>
        <w:spacing w:after="40" w:line="240" w:lineRule="auto"/>
      </w:pPr>
      <w:r>
        <w:rPr>
          <w:rFonts w:ascii="Times New Roman" w:hAnsi="Times New Roman" w:eastAsia="Times New Roman"/>
          <w:sz w:val="16"/>
        </w:rPr>
        <w:t>Bütünlük doğrulayıcısı düğüm kimliği benzersizliğini, zorunlu sütunları, observed alanının geçerli değerini, kaynak ve hedef uçların düğüm envanterinde bulunmasını, CSV ile CYJS temsilinin uyumunu, doğrudan ATT&amp;CK eşlemelerinin tek bir sürümlü kaynakla tutarlı olmasını, paralel ilişkilerin ayrı evidence_id değerleri taşımasını ve izole düğümlerin açık politika gerekçesine sahip olmasını denetler. Kontroller skor hesaplandıktan sonra yalnızca rapor üretmek için değil, yayımlanabilirlik kararını vermek için çalıştırılır.</w:t>
      </w:r>
    </w:p>
    <w:p>
      <w:pPr>
        <w:pStyle w:val="BodyText"/>
        <w:spacing w:after="40" w:line="240" w:lineRule="auto"/>
      </w:pPr>
      <w:r>
        <w:rPr>
          <w:rFonts w:ascii="Times New Roman" w:hAnsi="Times New Roman" w:eastAsia="Times New Roman"/>
          <w:sz w:val="16"/>
        </w:rPr>
        <w:t>Durum makinesi dört sonuç üretir. VALID, tüm zorunlu bütünlük koşullarının sağlandığını ve yayın kapısının açılabileceğini belirtir. VALID_WITH_WARNINGS, hesaplamanın tamamlandığını ancak politika tarafından yayıma izin verilmeyen veya insan incelemesi gerektiren uyarılar bulunduğunu gösterir. INVALID, çelişkili eşleme, beyan edilmemiş uç, yinelenen düğüm kimliği veya temsil uyuşmazlığı gibi yapısal kusurlar nedeniyle veri kümesinin kanonik sonuç olarak kullanılamayacağını ifade eder. INCOMPLETE ise gerekli dosya, sütun veya hesaplama çıktısının bulunmadığı başarısız koşumdur. Bu çalışmanın yayın politikası fail-closed'dur; yalnız VALID durumu OPEN kapısı üretir.</w:t>
      </w:r>
    </w:p>
    <w:p>
      <w:pPr>
        <w:pStyle w:val="BodyText"/>
        <w:spacing w:after="40" w:line="240" w:lineRule="auto"/>
      </w:pPr>
      <w:r>
        <w:rPr>
          <w:rFonts w:ascii="Times New Roman" w:hAnsi="Times New Roman" w:eastAsia="Times New Roman"/>
          <w:sz w:val="16"/>
        </w:rPr>
        <w:t>Paralel kenarlar otomatik olarak silinmez. Aynı kaynak-ilişki-hedef üçlüsü farklı gözlem veya kanıt örneklerini temsil ediyorsa her satır benzersiz evidence_id ve evidence_origin ile korunur. Böylece 171 satırın 165 benzersiz üçlüye indirgenmesi veri kaybı olarak değil, altı paralel ilişkinin ayrı kanıt örnekleri olarak açıklanır. Benzer biçimde izole düğümler yalnızca tarihsel, devre dışı veya aggregate amaçlı oldukları açık bir politika kaydıyla belirtildiğinde kabul edilir.</w:t>
      </w:r>
    </w:p>
    <w:p>
      <w:pPr>
        <w:pStyle w:val="BodyText"/>
        <w:spacing w:after="40" w:line="240" w:lineRule="auto"/>
      </w:pPr>
      <w:r>
        <w:rPr>
          <w:rFonts w:ascii="Times New Roman" w:hAnsi="Times New Roman" w:eastAsia="Times New Roman"/>
          <w:sz w:val="16"/>
        </w:rPr>
        <w:t>ATT&amp;CK ilişkilerinde mapping_basis alanı doğrudan tespit eşlemesini bağlamsal ilişkilendirmeden ayırır. Rule 110203 için doğrudan kontrol eşlemesi T1071.001 olarak korunmuş, MISP zincirinden gelen T1071.004 ise contextualized_as etiketiyle CTI bağlamı olarak modellenmiştir. Bu ayrım, bir tehdit-istihbaratı bağlamının kuralın özgün algılama mantığıymış gibi sayılmasını önler.</w:t>
      </w:r>
    </w:p>
    <w:p>
      <w:pPr>
        <w:pStyle w:val="Heading2"/>
      </w:pPr>
      <w:r>
        <w:t>G. Bütünlük Kapısı Doğrulama Protokolü</w:t>
      </w:r>
    </w:p>
    <w:p>
      <w:pPr>
        <w:pStyle w:val="BodyText"/>
        <w:spacing w:after="40" w:line="240" w:lineRule="auto"/>
      </w:pPr>
      <w:r>
        <w:rPr>
          <w:rFonts w:ascii="Times New Roman" w:hAnsi="Times New Roman" w:eastAsia="Times New Roman"/>
        </w:rPr>
        <w:t>Bütünlük kapısı, ilk F-01 kusurundan bağımsız olarak denetlenmiştir. Test düzeneği; 99 düğüm, 171 ilişki satırı, 165 benzersiz üçlü ve benzersiz evidence_id taşıyan altı paralel satırdan oluşan geçerli bir sentetik temel üretir. Daha sonra beyan edilmemiş uç, yinelenen düğüm kimliği, çelişkili doğrudan ATT&amp;CK eşlemesi, CSV-renderer uyuşmazlığı, eksik zorunlu alan, paralel evidence_id çakışması, gerekçesiz izole düğüm ve politika ile belgelenmiş izole düğüm mutasyonları tek tek uygulanır. Beklenen durumlar koşumdan önce sabitlenmiştir: yapısal çelişkiler INVALID, gerekçesiz izolasyon VALID_WITH_WARNINGS, geçerli temel ve belgelenmiş istisna VALID üretmelidir.</w:t>
      </w:r>
    </w:p>
    <w:p>
      <w:pPr>
        <w:pStyle w:val="BodyText"/>
        <w:spacing w:after="40" w:line="240" w:lineRule="auto"/>
      </w:pPr>
      <w:r>
        <w:rPr>
          <w:rFonts w:ascii="Times New Roman" w:hAnsi="Times New Roman" w:eastAsia="Times New Roman"/>
        </w:rPr>
        <w:t>İkinci deney geçerli kardinalite birimini 1, 10, 100 ve 1000 katsayılarıyla çoğaltır. Her boyut tek bir Python sürecinde yedi kez doğrulanmış; medyan duvar saati ve tracemalloc tepe belleği kaydedilmiştir. Koşum Python 3.13.5, Linux ve 4 GiB kullanılabilir bellek ortamında gerçekleştirilmiştir. Bu deney yalnız bütünlük kural sınıflarını ve veri yapısı büyümesini ölçer; Wazuh ingestion, OpenSearch sorgu gecikmesi, tarayıcı çizimi veya kurumsal SOC throughput testi değildir.</w:t>
      </w:r>
    </w:p>
    <w:p>
      <w:pPr>
        <w:pStyle w:val="Heading2"/>
      </w:pPr>
      <w:r>
        <w:t>H. Reason-Code ve Doğrulama Semantiği</w:t>
      </w:r>
    </w:p>
    <w:p>
      <w:pPr>
        <w:pStyle w:val="BodyText"/>
        <w:spacing w:after="40" w:line="240" w:lineRule="auto"/>
      </w:pPr>
      <w:r>
        <w:rPr>
          <w:rFonts w:ascii="Times New Roman" w:hAnsi="Times New Roman" w:eastAsia="Times New Roman"/>
          <w:sz w:val="16"/>
        </w:rPr>
        <w:t>Reason-code katmanı skor boşluklarını deterministik nedenlere dönüştürür. expected_log_source_not_observed CWLC'yi, enabled_control_not_seen CAC'yi, mitre_technique_not_covered MDC'yi, cti_lookup_without_hit ve ioc_not_converted_to_alert CTIC'yi, telemetry_freshness_decay ile telemetry_freshness_absent ise TF'yi açıklar. Bir reason-code yalnızca ilgili bileşenin uygulanan kural altında neden düşürüldüğünü gösterir; bütünlük doğrulayıcısının ürettiği INVALID veya INCOMPLETE durumu yerine geçmez.</w:t>
      </w:r>
    </w:p>
    <w:p>
      <w:pPr>
        <w:pStyle w:val="BodyText"/>
        <w:spacing w:after="40" w:line="240" w:lineRule="auto"/>
      </w:pPr>
      <w:r>
        <w:rPr>
          <w:rFonts w:ascii="Times New Roman" w:hAnsi="Times New Roman" w:eastAsia="Times New Roman"/>
          <w:sz w:val="16"/>
        </w:rPr>
        <w:t>N/A ile başarısızlık da birbirinden ayrılır. Uygulanabilir olmayan bir metrik aktif ağırlık kümesinden çıkarılırken, gerekli veri eksikliği veya başarısız sorgu N/A olarak gizlenmez; koşum INCOMPLETE ya da bileşen boşluğu olarak raporlanır. Bu yaklaşım, aktif-ağırlık normalizasyonunun veri yokluğunu yapay biçimde yüksek skora çevirmesini engeller.</w:t>
      </w:r>
    </w:p>
    <w:p>
      <w:pPr>
        <w:pStyle w:val="BodyText"/>
        <w:spacing w:after="40" w:line="240" w:lineRule="auto"/>
      </w:pPr>
      <w:r>
        <w:rPr>
          <w:rFonts w:ascii="Times New Roman" w:hAnsi="Times New Roman" w:eastAsia="Times New Roman"/>
          <w:sz w:val="16"/>
        </w:rPr>
        <w:t>Doğrulama çıktıları integrity_summary.json, integrity_findings.csv/json, INTEGRITY_RESULT.md ve birleşik release doğrulamasıyla yayımlanır. --check modu salt okunur çalışır; tekrarlı koşumlarda hash değiştirmemesi, kanonik paketin kimliğini ve doğrulama sonucunun deterministikliğini sınamak için ayrıca kontrol edilir.</w:t>
      </w:r>
    </w:p>
    <w:p>
      <w:pPr>
        <w:pStyle w:val="Heading1"/>
        <w:spacing w:before="120" w:after="60"/>
        <w:ind w:firstLine="0"/>
        <w:jc w:val="center"/>
      </w:pPr>
      <w:r>
        <w:rPr>
          <w:rFonts w:ascii="Times New Roman" w:hAnsi="Times New Roman" w:eastAsia="Times New Roman"/>
          <w:b/>
          <w:i w:val="0"/>
          <w:sz w:val="20"/>
          <w:lang w:val="tr-TR" w:eastAsia="tr-TR"/>
        </w:rPr>
        <w:t>IV. KONTROLLÜ LABORATUVAR KURULUMU VE VERİ HATTI</w:t>
      </w:r>
    </w:p>
    <w:p>
      <w:pPr>
        <w:pStyle w:val="BodyText"/>
        <w:spacing w:before="0" w:after="40" w:line="240" w:lineRule="auto"/>
        <w:ind w:firstLine="259"/>
      </w:pPr>
      <w:r>
        <w:rPr>
          <w:rFonts w:ascii="Times New Roman" w:hAnsi="Times New Roman" w:eastAsia="Times New Roman"/>
          <w:b w:val="0"/>
          <w:i w:val="0"/>
          <w:sz w:val="16"/>
          <w:lang w:val="tr-TR" w:eastAsia="tr-TR"/>
        </w:rPr>
        <w:t>Deney ortamı, yayımlanan envanterde aynı 192.168.1.x adres uzayında tanımlanan altı mantıksal varlıktan oluşur. Topoloji, telemetri üreten uçları merkezi Wazuh toplama ve tespit katmanına; buradan ATT&amp;CK, MISP ve SACI kanıt ilişkilerine bağlar.</w:t>
      </w:r>
    </w:p>
    <w:p>
      <w:pPr>
        <w:pStyle w:val="BodyText"/>
        <w:spacing w:after="40" w:line="240" w:lineRule="auto"/>
        <w:ind w:firstLine="0" w:left="173"/>
      </w:pPr>
      <w:r>
        <w:rPr>
          <w:rFonts w:ascii="Times New Roman" w:hAnsi="Times New Roman" w:eastAsia="Times New Roman"/>
          <w:b/>
          <w:i w:val="0"/>
          <w:sz w:val="18"/>
          <w:lang w:val="tr-TR" w:eastAsia="tr-TR"/>
        </w:rPr>
        <w:t>WSIEM (192.168.1.100): merkezi Wazuh toplama, decoder/kural değerlendirme, alarm üretimi ve özel MISP entegrasyon kanıtı.</w:t>
      </w:r>
    </w:p>
    <w:p>
      <w:pPr>
        <w:pStyle w:val="BodyText"/>
        <w:spacing w:after="40" w:line="240" w:lineRule="auto"/>
        <w:ind w:firstLine="0" w:left="173"/>
      </w:pPr>
      <w:r>
        <w:rPr>
          <w:rFonts w:ascii="Times New Roman" w:hAnsi="Times New Roman" w:eastAsia="Times New Roman"/>
          <w:b/>
          <w:i w:val="0"/>
          <w:sz w:val="18"/>
          <w:lang w:val="tr-TR" w:eastAsia="tr-TR"/>
        </w:rPr>
        <w:t>DC01 (192.168.1.10): Windows Security ve Sysmon; WS01 (192.168.1.111): Security, Sysmon ve PowerShell telemetrisi.</w:t>
      </w:r>
    </w:p>
    <w:p>
      <w:pPr>
        <w:pStyle w:val="BodyText"/>
        <w:spacing w:after="40" w:line="240" w:lineRule="auto"/>
        <w:ind w:firstLine="0" w:left="173"/>
      </w:pPr>
      <w:r>
        <w:rPr>
          <w:rFonts w:ascii="Times New Roman" w:hAnsi="Times New Roman" w:eastAsia="Times New Roman"/>
          <w:b/>
          <w:i w:val="0"/>
          <w:sz w:val="18"/>
          <w:lang w:val="tr-TR" w:eastAsia="tr-TR"/>
        </w:rPr>
        <w:t>uhost (192.168.1.121): Ubuntu authlog, syslog ve süreç telemetrisi.</w:t>
      </w:r>
    </w:p>
    <w:p>
      <w:pPr>
        <w:pStyle w:val="BodyText"/>
        <w:spacing w:after="40" w:line="240" w:lineRule="auto"/>
        <w:ind w:firstLine="0" w:left="173"/>
      </w:pPr>
      <w:r>
        <w:rPr>
          <w:rFonts w:ascii="Times New Roman" w:hAnsi="Times New Roman" w:eastAsia="Times New Roman"/>
          <w:b/>
          <w:i w:val="0"/>
          <w:sz w:val="18"/>
          <w:lang w:val="tr-TR" w:eastAsia="tr-TR"/>
        </w:rPr>
        <w:t>FW01-PFSENSE (192.168.1.1): güvenlik duvarı ve pfSense syslog olayları.</w:t>
      </w:r>
    </w:p>
    <w:p>
      <w:pPr>
        <w:pStyle w:val="BodyText"/>
        <w:spacing w:after="40" w:line="240" w:lineRule="auto"/>
        <w:ind w:firstLine="0" w:left="173"/>
      </w:pPr>
      <w:r>
        <w:rPr>
          <w:rFonts w:ascii="Times New Roman" w:hAnsi="Times New Roman" w:eastAsia="Times New Roman"/>
          <w:b/>
          <w:i w:val="0"/>
          <w:sz w:val="18"/>
          <w:lang w:val="tr-TR" w:eastAsia="tr-TR"/>
        </w:rPr>
        <w:t>CTI01 (192.168.1.101): MISP API, IOC ve zenginleştirme kanıtı.</w:t>
      </w:r>
    </w:p>
    <w:p>
      <w:pPr>
        <w:pStyle w:val="BodyText"/>
        <w:spacing w:after="40" w:line="240" w:lineRule="auto"/>
        <w:ind w:firstLine="0" w:left="173"/>
      </w:pPr>
      <w:r>
        <w:rPr>
          <w:rFonts w:ascii="Times New Roman" w:hAnsi="Times New Roman" w:eastAsia="Times New Roman"/>
          <w:b/>
          <w:i w:val="0"/>
          <w:sz w:val="18"/>
          <w:lang w:val="tr-TR" w:eastAsia="tr-TR"/>
        </w:rPr>
        <w:t>Değerlendirme evreni: 6 varlık, 12 varlık-log çifti, 27 kontrol satırı, 25 etkin kontrol, 13 kapsam içi ATT&amp;CK tekniği ve 2 sentetik IOC.</w:t>
      </w:r>
    </w:p>
    <w:p>
      <w:pPr>
        <w:pStyle w:val="Heading2"/>
        <w:spacing w:before="120" w:after="60"/>
        <w:ind w:firstLine="0"/>
        <w:jc w:val="left"/>
      </w:pPr>
      <w:r>
        <w:rPr>
          <w:rFonts w:ascii="Times New Roman" w:hAnsi="Times New Roman" w:eastAsia="Times New Roman"/>
          <w:b/>
          <w:i w:val="0"/>
          <w:sz w:val="20"/>
          <w:lang w:val="tr-TR" w:eastAsia="tr-TR"/>
        </w:rPr>
        <w:t>A. Doğrulanmış Topoloji ve Kurulum Sınırı</w:t>
      </w:r>
    </w:p>
    <w:p>
      <w:pPr>
        <w:pStyle w:val="BodyText"/>
        <w:spacing w:before="0" w:after="40" w:line="240" w:lineRule="auto"/>
        <w:ind w:firstLine="259"/>
      </w:pPr>
      <w:r>
        <w:rPr>
          <w:rFonts w:ascii="Times New Roman" w:hAnsi="Times New Roman" w:eastAsia="Times New Roman"/>
          <w:b w:val="0"/>
          <w:i w:val="0"/>
          <w:sz w:val="16"/>
          <w:lang w:val="tr-TR" w:eastAsia="tr-TR"/>
        </w:rPr>
        <w:t>Yayın paketi tam ortam otomasyonu yerine Vagrantfile, sürümlenmiş topology.json, provisioning betikleri ve doğrulama aracı içeren bir yeniden üretim iskelesi sunar. evidence profili kanonik artefaktları doğrular; portable profil Linux tabanlı temsili makineler, native profil ise sağlayıcıyla uyumlu konuk kutuları kullanır. Bu yapı rollerin ve veri yollarının yeniden kurulmasını destekler, ancak özgün koşumun kesin dijital ikizi değildir. WSIEM merkezi Wazuh düğümüdür; resmî tek-düğüm modelindeki bileşenlerin özgün laboratuvarda aynı makinede bulunduğu veya belirli bir sürümün kullanıldığı yine de kanıtlanamaz [14].</w:t>
      </w:r>
    </w:p>
    <w:p>
      <w:pPr>
        <w:pStyle w:val="BodyText"/>
        <w:spacing w:before="0" w:after="40" w:line="240" w:lineRule="auto"/>
        <w:ind w:firstLine="259"/>
      </w:pPr>
      <w:r>
        <w:rPr>
          <w:rFonts w:ascii="Times New Roman" w:hAnsi="Times New Roman" w:eastAsia="Times New Roman"/>
          <w:b w:val="0"/>
          <w:i w:val="0"/>
          <w:sz w:val="16"/>
          <w:lang w:val="tr-TR" w:eastAsia="tr-TR"/>
        </w:rPr>
        <w:t>DC01, WS01 ve uhost üzerindeki telemetri akışı Wazuh ajanı ve merkezi yönetici ilişkisiyle uyumludur. Yeniden kurulumda ajanların işletim sistemine göre kurulması ve benzersiz istemci anahtarlarıyla yöneticiye kaydedilmesi gerekir [15], [16]. Yayımlanan graf collected_by ilişkilerini, Vagrant iskelesi ise amaçlanan roller ve adreslemeyi doğrular; gerçek ajan komutları, ossec.conf dosyaları, sertifikalar, özgün hipervizör ve kesin ürün sürümleri korunmamıştır.</w:t>
      </w:r>
    </w:p>
    <w:p>
      <w:pPr>
        <w:pStyle w:val="Heading2"/>
        <w:spacing w:before="120" w:after="60"/>
        <w:ind w:firstLine="0"/>
        <w:jc w:val="left"/>
      </w:pPr>
      <w:r>
        <w:rPr>
          <w:rFonts w:ascii="Times New Roman" w:hAnsi="Times New Roman" w:eastAsia="Times New Roman"/>
          <w:b/>
          <w:i w:val="0"/>
          <w:sz w:val="20"/>
          <w:lang w:val="tr-TR" w:eastAsia="tr-TR"/>
        </w:rPr>
        <w:t>B. Telemetri ve Entegrasyon Yapılandırması</w:t>
      </w:r>
    </w:p>
    <w:p>
      <w:pPr>
        <w:pStyle w:val="BodyText"/>
        <w:spacing w:before="0" w:after="40" w:line="240" w:lineRule="auto"/>
        <w:ind w:firstLine="259"/>
      </w:pPr>
      <w:r>
        <w:rPr>
          <w:rFonts w:ascii="Times New Roman" w:hAnsi="Times New Roman" w:eastAsia="Times New Roman"/>
          <w:b w:val="0"/>
          <w:i w:val="0"/>
          <w:sz w:val="16"/>
          <w:lang w:val="tr-TR" w:eastAsia="tr-TR"/>
        </w:rPr>
        <w:t>Windows katmanında Security, Microsoft-Windows-Sysmon/Operational ve Microsoft-Windows-PowerShell/Operational kanalları izlenmiştir. Wazuh bu kanalları eventchannel kaynakları olarak toplayabilir [17]; Sysmon XML yapılandırması süreç, ağ ve DNS görünürlüğünü, PowerShell Script Block Logging ise komut içeriğini Operational kanalında üretir [22], [23]. Linux tarafında authlog, syslog ve süreç kanıtı; ağ katmanında pfSense uzak syslog kanıtı gözlenmiştir. Netgate kılavuzu uzak syslog yapılandırmasını açıklar ve korumasız UDP aktarımının şifresiz olduğunu belirtir [21]. Paket, kullanılan Sysmon XML'ini, PowerShell ilke ayarlarını, Linux forwarder yapılandırmasını veya pfSense taşıma protokolünü korumadığından bu ayrıntılar doğrulanmış kurulum gerçeği olarak sunulamaz.</w:t>
      </w:r>
    </w:p>
    <w:p>
      <w:pPr>
        <w:pStyle w:val="BodyText"/>
        <w:spacing w:before="0" w:after="40" w:line="240" w:lineRule="auto"/>
        <w:ind w:firstLine="259"/>
      </w:pPr>
      <w:r>
        <w:rPr>
          <w:rFonts w:ascii="Times New Roman" w:hAnsi="Times New Roman" w:eastAsia="Times New Roman"/>
          <w:b w:val="0"/>
          <w:i w:val="0"/>
          <w:sz w:val="16"/>
          <w:lang w:val="tr-TR" w:eastAsia="tr-TR"/>
        </w:rPr>
        <w:t>CTI01, MISP API ve iki sentetik IOC kaydıyla tehdit istihbaratı katmanını sağlar. Resmî MISP kılavuzları desteklenen GNU/Linux kurulum akışlarını ve API tabanlı kullanım modelini verir [19], [20]. Laboratuvar grafında Wazuh özel MISP entegrasyonunu tetikler, entegrasyon MISP'i sorgular, IOC eşleşmesini Wazuh alarmına dönüştürür ve ATT&amp;CK bağlamına taşır. Bu desen Wazuh'un Integrator ve dış API bağlayıcılarıyla uyumludur [18]. Bununla birlikte MISP sürümü, kurulum yöntemi, API uç noktası, kimlik bilgileri ve özel bağlayıcı yapılandırması yayımlanmamıştır.</w:t>
      </w:r>
    </w:p>
    <w:p>
      <w:pPr>
        <w:pStyle w:val="Heading2"/>
        <w:spacing w:before="120" w:after="60"/>
        <w:ind w:firstLine="0"/>
        <w:jc w:val="left"/>
      </w:pPr>
      <w:r>
        <w:t>C. Araçların İşlevsel Rolleri ve Kaynak Dayanağı</w:t>
      </w:r>
    </w:p>
    <w:p>
      <w:pPr>
        <w:pStyle w:val="BodyText"/>
        <w:spacing w:before="0" w:after="40" w:line="240" w:lineRule="auto"/>
        <w:ind w:firstLine="259"/>
      </w:pPr>
      <w:r>
        <w:rPr>
          <w:rFonts w:ascii="Times New Roman" w:hAnsi="Times New Roman" w:eastAsia="Times New Roman"/>
          <w:sz w:val="16"/>
        </w:rPr>
        <w:t>Araçların rolleri, ürünlerin genel yetenekleri ile SACI deneyinde üstlendikleri görev ayrılarak tanımlanmıştır. Resmî belgeler bir ürünün ne yapabildiğini açıklar; kanonik CSV/JSON/graph artefaktları ise bu yeteneğin laboratuvar kapsamındaki hangi kanıt satırına dönüştürüldüğünü gösterir [13]. Bir ürünün dokümante edilmiş özelliği, ilgili SACI satırı observed=1 değilse gözlenmiş kanıt sayılmaz.</w:t>
      </w:r>
    </w:p>
    <w:p>
      <w:pPr>
        <w:pStyle w:val="Heading3"/>
      </w:pPr>
      <w:r>
        <w:rPr>
          <w:rFonts w:ascii="Times New Roman" w:hAnsi="Times New Roman" w:eastAsia="Times New Roman"/>
          <w:sz w:val="16"/>
        </w:rPr>
        <w:t>1) Telemetri, Tespit ve CTI Araçları</w:t>
      </w:r>
    </w:p>
    <w:p>
      <w:pPr>
        <w:pStyle w:val="BodyText"/>
        <w:spacing w:after="40" w:line="240" w:lineRule="auto"/>
      </w:pPr>
      <w:r>
        <w:rPr>
          <w:rFonts w:ascii="Times New Roman" w:hAnsi="Times New Roman" w:eastAsia="Times New Roman"/>
          <w:b/>
          <w:sz w:val="16"/>
        </w:rPr>
        <w:t>Windows Security—</w:t>
      </w:r>
      <w:r>
        <w:rPr>
          <w:rFonts w:ascii="Times New Roman" w:hAnsi="Times New Roman" w:eastAsia="Times New Roman"/>
          <w:sz w:val="16"/>
        </w:rPr>
        <w:t>Gelişmiş audit policy aracılığıyla logon/logoff, hesap, süreç, dizin hizmeti ve sistem olaylarını Security kanalında üretir. SACI bu kanalı bağımsız asset-log beklentisi ve kontrol kanıtı olarak modeller [43], [58].</w:t>
      </w:r>
    </w:p>
    <w:p>
      <w:pPr>
        <w:pStyle w:val="BodyText"/>
        <w:spacing w:after="40" w:line="240" w:lineRule="auto"/>
      </w:pPr>
      <w:r>
        <w:rPr>
          <w:rFonts w:ascii="Times New Roman" w:hAnsi="Times New Roman" w:eastAsia="Times New Roman"/>
          <w:b/>
          <w:sz w:val="16"/>
        </w:rPr>
        <w:t>Sysmon—</w:t>
      </w:r>
      <w:r>
        <w:rPr>
          <w:rFonts w:ascii="Times New Roman" w:hAnsi="Times New Roman" w:eastAsia="Times New Roman"/>
          <w:sz w:val="16"/>
        </w:rPr>
        <w:t>Process Create, DNS Query, Network Connect, file ve registry gibi davranış sinyalleri üretir; Security kanalını daha ayrıntılı endpoint telemetrisiyle tamamlar [22], [40], [41]. Sysmon XML filtreleri hangi olayların üretileceğini belirlediğinden, yapılandırma kapsamı doğrudan gözlenebilirliği etkiler.</w:t>
      </w:r>
    </w:p>
    <w:p>
      <w:pPr>
        <w:pStyle w:val="BodyText"/>
        <w:spacing w:after="40" w:line="240" w:lineRule="auto"/>
      </w:pPr>
      <w:r>
        <w:rPr>
          <w:rFonts w:ascii="Times New Roman" w:hAnsi="Times New Roman" w:eastAsia="Times New Roman"/>
          <w:b/>
          <w:sz w:val="16"/>
        </w:rPr>
        <w:t>PowerShell Logging—</w:t>
      </w:r>
      <w:r>
        <w:rPr>
          <w:rFonts w:ascii="Times New Roman" w:hAnsi="Times New Roman" w:eastAsia="Times New Roman"/>
          <w:sz w:val="16"/>
        </w:rPr>
        <w:t>Script Block Logging ve ilgili politikalar komut, script block, function ve script işlenmesini Microsoft-Windows-PowerShell/Operational kanalında kaydeder; T1059.001 gibi PowerShell odaklı kontrolleri destekler [23], [42].</w:t>
      </w:r>
    </w:p>
    <w:p>
      <w:pPr>
        <w:pStyle w:val="BodyText"/>
        <w:spacing w:after="40" w:line="240" w:lineRule="auto"/>
      </w:pPr>
      <w:r>
        <w:rPr>
          <w:rFonts w:ascii="Times New Roman" w:hAnsi="Times New Roman" w:eastAsia="Times New Roman"/>
          <w:b/>
          <w:sz w:val="16"/>
        </w:rPr>
        <w:t>Linux authlog, syslog ve process kanıtı—</w:t>
      </w:r>
      <w:r>
        <w:rPr>
          <w:rFonts w:ascii="Times New Roman" w:hAnsi="Times New Roman" w:eastAsia="Times New Roman"/>
          <w:sz w:val="16"/>
        </w:rPr>
        <w:t>Kimlik doğrulama, sistem ve süreç faaliyetlerini üretir. Wazuh agent veya syslog/logcollector üzerinden normalize edilerek asset-log ve kontrol tablolarına taşınır [17], [38], [57].</w:t>
      </w:r>
    </w:p>
    <w:p>
      <w:pPr>
        <w:pStyle w:val="BodyText"/>
        <w:spacing w:after="40" w:line="240" w:lineRule="auto"/>
      </w:pPr>
      <w:r>
        <w:rPr>
          <w:rFonts w:ascii="Times New Roman" w:hAnsi="Times New Roman" w:eastAsia="Times New Roman"/>
          <w:b/>
          <w:sz w:val="16"/>
        </w:rPr>
        <w:t>pfSense—</w:t>
      </w:r>
      <w:r>
        <w:rPr>
          <w:rFonts w:ascii="Times New Roman" w:hAnsi="Times New Roman" w:eastAsia="Times New Roman"/>
          <w:sz w:val="16"/>
        </w:rPr>
        <w:t>Firewall ve ağ olaylarını uzak syslog ile iletir; ham filter log biçimi action, interface, adres, port ve kural alanlarının nasıl yorumlanacağını belirler. SACI bu çıktıyı ağ telemetrisi ve kontrol kanıtı olarak kullanır [21], [44].</w:t>
      </w:r>
    </w:p>
    <w:p>
      <w:pPr>
        <w:pStyle w:val="BodyText"/>
        <w:spacing w:after="40" w:line="240" w:lineRule="auto"/>
      </w:pPr>
      <w:r>
        <w:rPr>
          <w:rFonts w:ascii="Times New Roman" w:hAnsi="Times New Roman" w:eastAsia="Times New Roman"/>
          <w:b/>
          <w:sz w:val="16"/>
        </w:rPr>
        <w:t>Wazuh agent—</w:t>
      </w:r>
      <w:r>
        <w:rPr>
          <w:rFonts w:ascii="Times New Roman" w:hAnsi="Times New Roman" w:eastAsia="Times New Roman"/>
          <w:sz w:val="16"/>
        </w:rPr>
        <w:t>Uç sistemlerden güvenlik olaylarını toplar ve merkezi yöneticinin kullanımına iletir; kayıt ve enrollment benzersiz ajan kimliği sağlar [15], [16].</w:t>
      </w:r>
    </w:p>
    <w:p>
      <w:pPr>
        <w:pStyle w:val="BodyText"/>
        <w:spacing w:after="40" w:line="240" w:lineRule="auto"/>
      </w:pPr>
      <w:r>
        <w:rPr>
          <w:rFonts w:ascii="Times New Roman" w:hAnsi="Times New Roman" w:eastAsia="Times New Roman"/>
          <w:b/>
          <w:sz w:val="16"/>
        </w:rPr>
        <w:t>Wazuh server—</w:t>
      </w:r>
      <w:r>
        <w:rPr>
          <w:rFonts w:ascii="Times New Roman" w:hAnsi="Times New Roman" w:eastAsia="Times New Roman"/>
          <w:sz w:val="16"/>
        </w:rPr>
        <w:t>Logcollector ile olayları toplar, decoder ile alanları normalize eder, Analysisd ve kurallarla değerlendirir ve alerts.json çıktısını üretir [37]–[39]. SACI observed, control, rule ve ATT&amp;CK ilişkilerini bu kanıttan türetir.</w:t>
      </w:r>
    </w:p>
    <w:p>
      <w:pPr>
        <w:pStyle w:val="BodyText"/>
        <w:spacing w:after="40" w:line="240" w:lineRule="auto"/>
      </w:pPr>
      <w:r>
        <w:rPr>
          <w:rFonts w:ascii="Times New Roman" w:hAnsi="Times New Roman" w:eastAsia="Times New Roman"/>
          <w:b/>
          <w:sz w:val="16"/>
        </w:rPr>
        <w:t>Wazuh indexer ve dashboard—</w:t>
      </w:r>
      <w:r>
        <w:rPr>
          <w:rFonts w:ascii="Times New Roman" w:hAnsi="Times New Roman" w:eastAsia="Times New Roman"/>
          <w:sz w:val="16"/>
        </w:rPr>
        <w:t>Indexer alarmları saklar ve arama/analitik sağlar; dashboard olayları ve modülleri görselleştirir [55], [56]. Bu bileşenler skorun hesaplayıcısı değil, alert saklama ve araştırma görünümünün platform katmanıdır.</w:t>
      </w:r>
    </w:p>
    <w:p>
      <w:pPr>
        <w:pStyle w:val="BodyText"/>
        <w:spacing w:after="40" w:line="240" w:lineRule="auto"/>
      </w:pPr>
      <w:r>
        <w:rPr>
          <w:rFonts w:ascii="Times New Roman" w:hAnsi="Times New Roman" w:eastAsia="Times New Roman"/>
          <w:b/>
          <w:sz w:val="16"/>
        </w:rPr>
        <w:t>MISP—</w:t>
      </w:r>
      <w:r>
        <w:rPr>
          <w:rFonts w:ascii="Times New Roman" w:hAnsi="Times New Roman" w:eastAsia="Times New Roman"/>
          <w:sz w:val="16"/>
        </w:rPr>
        <w:t>IOC ve bağlamsal CTI nesnelerini saklar, API üzerinden sorgulanabilir ve paylaşılabilir kılar. CTIC'nin hit/no-hit ve bağlam aşamalarına teknoloji zemini sağlar [19], [20].</w:t>
      </w:r>
    </w:p>
    <w:p>
      <w:pPr>
        <w:pStyle w:val="BodyText"/>
        <w:spacing w:after="40" w:line="240" w:lineRule="auto"/>
      </w:pPr>
      <w:r>
        <w:rPr>
          <w:rFonts w:ascii="Times New Roman" w:hAnsi="Times New Roman" w:eastAsia="Times New Roman"/>
          <w:b/>
          <w:sz w:val="16"/>
        </w:rPr>
        <w:t>custom-misp.py—</w:t>
      </w:r>
      <w:r>
        <w:rPr>
          <w:rFonts w:ascii="Times New Roman" w:hAnsi="Times New Roman" w:eastAsia="Times New Roman"/>
          <w:sz w:val="16"/>
        </w:rPr>
        <w:t>Bu çalışmaya özgü entegrasyon betiğidir. Wazuh olayından gösterge çıkarır, HTTP istemcisiyle MISP'i sorgular ve sonucu enrichment/alert zincirine taşır. Ürün/API yetenekleri Wazuh, MISP ve Requests belgelerine; çıkarım, alan eşleme ve CTIC mantığı yayımlanan araştırma koduna dayanır [13], [18]–[20], [54].</w:t>
      </w:r>
    </w:p>
    <w:p>
      <w:pPr>
        <w:pStyle w:val="BodyText"/>
        <w:spacing w:after="40" w:line="240" w:lineRule="auto"/>
      </w:pPr>
      <w:r>
        <w:rPr>
          <w:rFonts w:ascii="Times New Roman" w:hAnsi="Times New Roman" w:eastAsia="Times New Roman"/>
          <w:b/>
          <w:sz w:val="16"/>
        </w:rPr>
        <w:t>MITRE ATT&amp;CK—</w:t>
      </w:r>
      <w:r>
        <w:rPr>
          <w:rFonts w:ascii="Times New Roman" w:hAnsi="Times New Roman" w:eastAsia="Times New Roman"/>
          <w:sz w:val="16"/>
        </w:rPr>
        <w:t>Taktik ve teknik kimlikleri için dış taksonomi ve doğrulama kaynağıdır. MDC paydası ATT&amp;CK'in tamamı değil, çalışmada sürümlenen seçili teknik alt kümesidir [1], [2], [25].</w:t>
      </w:r>
    </w:p>
    <w:p>
      <w:pPr>
        <w:pStyle w:val="BodyText"/>
        <w:spacing w:after="40" w:line="240" w:lineRule="auto"/>
      </w:pPr>
      <w:r>
        <w:rPr>
          <w:rFonts w:ascii="Times New Roman" w:hAnsi="Times New Roman" w:eastAsia="Times New Roman"/>
          <w:b/>
          <w:sz w:val="16"/>
        </w:rPr>
        <w:t>STIX ve TAXII—</w:t>
      </w:r>
      <w:r>
        <w:rPr>
          <w:rFonts w:ascii="Times New Roman" w:hAnsi="Times New Roman" w:eastAsia="Times New Roman"/>
          <w:sz w:val="16"/>
        </w:rPr>
        <w:t>CTI nesnelerinin makinece okunabilir temsili ve uygulama katmanı değişimi için standart zemindir. SACI tam bir STIX graph'ı uygulamasa da IOC ve tehdit bağlamı semantiğini bu standartlarla uyumlu biçimde yorumlar [3], [11], [29], [30].</w:t>
      </w:r>
    </w:p>
    <w:p>
      <w:pPr>
        <w:pStyle w:val="Heading3"/>
      </w:pPr>
      <w:r>
        <w:rPr>
          <w:rFonts w:ascii="Times New Roman" w:hAnsi="Times New Roman" w:eastAsia="Times New Roman"/>
          <w:sz w:val="16"/>
        </w:rPr>
        <w:t>2) Orkestrasyon, Analiz, Graf ve Yayın Araçları</w:t>
      </w:r>
    </w:p>
    <w:p>
      <w:pPr>
        <w:pStyle w:val="BodyText"/>
        <w:spacing w:after="40" w:line="240" w:lineRule="auto"/>
      </w:pPr>
      <w:r>
        <w:rPr>
          <w:rFonts w:ascii="Times New Roman" w:hAnsi="Times New Roman" w:eastAsia="Times New Roman"/>
          <w:b/>
          <w:sz w:val="16"/>
        </w:rPr>
        <w:t>Ansible ve WinRM—</w:t>
      </w:r>
      <w:r>
        <w:rPr>
          <w:rFonts w:ascii="Times New Roman" w:hAnsi="Times New Roman" w:eastAsia="Times New Roman"/>
          <w:sz w:val="16"/>
        </w:rPr>
        <w:t>DC01/Windows senaryolarını uzaktan ve tekrarlanabilir biçimde yürütür. WinRM Windows yönetim taşıma ve kimlik doğrulama katmanıdır; ansible.windows.win_shell komutları hedefte varsayılan olarak PowerShell üzerinden çalıştırır [24], [45].</w:t>
      </w:r>
    </w:p>
    <w:p>
      <w:pPr>
        <w:pStyle w:val="BodyText"/>
        <w:spacing w:after="40" w:line="240" w:lineRule="auto"/>
      </w:pPr>
      <w:r>
        <w:rPr>
          <w:rFonts w:ascii="Times New Roman" w:hAnsi="Times New Roman" w:eastAsia="Times New Roman"/>
          <w:b/>
          <w:sz w:val="16"/>
        </w:rPr>
        <w:t>Python—</w:t>
      </w:r>
      <w:r>
        <w:rPr>
          <w:rFonts w:ascii="Times New Roman" w:hAnsi="Times New Roman" w:eastAsia="Times New Roman"/>
          <w:sz w:val="16"/>
        </w:rPr>
        <w:t>Skorlayıcı, graph builder, validator, CSV/JSON okuma-yazma ve SHA-256 hesaplama için deterministik uygulama dilidir. Dil ve standart-kütüphane yetenekleri dış kaynaktır; SACI algoritması ve veri şeması araştırma kodudur [13], [53].</w:t>
      </w:r>
    </w:p>
    <w:p>
      <w:pPr>
        <w:pStyle w:val="BodyText"/>
        <w:spacing w:after="40" w:line="240" w:lineRule="auto"/>
      </w:pPr>
      <w:r>
        <w:rPr>
          <w:rFonts w:ascii="Times New Roman" w:hAnsi="Times New Roman" w:eastAsia="Times New Roman"/>
          <w:b/>
          <w:sz w:val="16"/>
        </w:rPr>
        <w:t>Requests—</w:t>
      </w:r>
      <w:r>
        <w:rPr>
          <w:rFonts w:ascii="Times New Roman" w:hAnsi="Times New Roman" w:eastAsia="Times New Roman"/>
          <w:sz w:val="16"/>
        </w:rPr>
        <w:t>custom-misp.py içinde MISP HTTP API çağrılarını ve Response nesnelerini yönetir. Kütüphane yalnız taşıma istemcisidir; IOC çıkarımı, eşleşme yorumu ve CTIC semantiği SACI uygulamasına aittir [54].</w:t>
      </w:r>
    </w:p>
    <w:p>
      <w:pPr>
        <w:pStyle w:val="BodyText"/>
        <w:spacing w:after="40" w:line="240" w:lineRule="auto"/>
      </w:pPr>
      <w:r>
        <w:rPr>
          <w:rFonts w:ascii="Times New Roman" w:hAnsi="Times New Roman" w:eastAsia="Times New Roman"/>
          <w:b/>
          <w:sz w:val="16"/>
        </w:rPr>
        <w:t>Cytoscape.js—</w:t>
      </w:r>
      <w:r>
        <w:rPr>
          <w:rFonts w:ascii="Times New Roman" w:hAnsi="Times New Roman" w:eastAsia="Times New Roman"/>
          <w:sz w:val="16"/>
        </w:rPr>
        <w:t>CYJS çıktısını tarayıcıda etkileşimli graph inceleme, filtreleme, düğüm/kenar seçimi ve yerleşim için kullanır; sayısal SACI skorunu veya bütünlük durumunu hesaplamaz [31].</w:t>
      </w:r>
    </w:p>
    <w:p>
      <w:pPr>
        <w:pStyle w:val="BodyText"/>
        <w:spacing w:after="40" w:line="240" w:lineRule="auto"/>
      </w:pPr>
      <w:r>
        <w:rPr>
          <w:rFonts w:ascii="Times New Roman" w:hAnsi="Times New Roman" w:eastAsia="Times New Roman"/>
          <w:b/>
          <w:sz w:val="16"/>
        </w:rPr>
        <w:t>Mermaid—</w:t>
      </w:r>
      <w:r>
        <w:rPr>
          <w:rFonts w:ascii="Times New Roman" w:hAnsi="Times New Roman" w:eastAsia="Times New Roman"/>
          <w:sz w:val="16"/>
        </w:rPr>
        <w:t>Metin tabanlı ve sürüm denetimine uygun statik graph/diyagram temsili üretir. Kanonik veri kaynağı CSV/JSON olup Mermaid yalnız türetilmiş görselleştirmedir [32].</w:t>
      </w:r>
    </w:p>
    <w:p>
      <w:pPr>
        <w:pStyle w:val="BodyText"/>
        <w:spacing w:after="40" w:line="240" w:lineRule="auto"/>
      </w:pPr>
      <w:r>
        <w:rPr>
          <w:rFonts w:ascii="Times New Roman" w:hAnsi="Times New Roman" w:eastAsia="Times New Roman"/>
          <w:b/>
          <w:sz w:val="16"/>
        </w:rPr>
        <w:t>Vagrant—</w:t>
      </w:r>
      <w:r>
        <w:rPr>
          <w:rFonts w:ascii="Times New Roman" w:hAnsi="Times New Roman" w:eastAsia="Times New Roman"/>
          <w:sz w:val="16"/>
        </w:rPr>
        <w:t>Makine yaşam döngüsü, provider soyutlaması, private network, multi-machine topoloji ve provisioning başlangıç noktası sağlar [46]–[49]. evidence, portable ve native profilleri farklı yeniden üretim güvence düzeylerini temsil eder; yayımlanan iskele özgün laboratuvarın tam dijital ikizi değildir.</w:t>
      </w:r>
    </w:p>
    <w:p>
      <w:pPr>
        <w:pStyle w:val="BodyText"/>
        <w:spacing w:after="40" w:line="240" w:lineRule="auto"/>
      </w:pPr>
      <w:r>
        <w:rPr>
          <w:rFonts w:ascii="Times New Roman" w:hAnsi="Times New Roman" w:eastAsia="Times New Roman"/>
          <w:b/>
          <w:sz w:val="16"/>
        </w:rPr>
        <w:t>GitHub Pages—</w:t>
      </w:r>
      <w:r>
        <w:rPr>
          <w:rFonts w:ascii="Times New Roman" w:hAnsi="Times New Roman" w:eastAsia="Times New Roman"/>
          <w:sz w:val="16"/>
        </w:rPr>
        <w:t>Repository içindeki HTML, CSS ve JavaScript dosyalarını statik araştırma portalı olarak yayımlar [50], [51]. Portal türetilmiş bir açıklama ve inceleme görünümüdür; kanonik CSV/JSON paketinin yerine geçen veri tabanı değildir.</w:t>
      </w:r>
    </w:p>
    <w:p>
      <w:pPr>
        <w:pStyle w:val="BodyText"/>
        <w:spacing w:after="40" w:line="240" w:lineRule="auto"/>
      </w:pPr>
      <w:r>
        <w:rPr>
          <w:rFonts w:ascii="Times New Roman" w:hAnsi="Times New Roman" w:eastAsia="Times New Roman"/>
          <w:b/>
          <w:sz w:val="16"/>
        </w:rPr>
        <w:t>SHA-256, manifest ve release paketi—</w:t>
      </w:r>
      <w:r>
        <w:rPr>
          <w:rFonts w:ascii="Times New Roman" w:hAnsi="Times New Roman" w:eastAsia="Times New Roman"/>
          <w:sz w:val="16"/>
        </w:rPr>
        <w:t>SHA-256 dosya değişikliklerini özet değerindeki değişimle saptamak için kullanılır ve FIPS 180-4'e dayanır [52]. Manifest, dosya boyutu ve hash kayıtlarını; SHA256SUMS.txt ise release kimliğini taşır. Checksum üretim sırası ve self-reference döngüsünün engellenmesi SACI release tasarımıdır.</w:t>
      </w:r>
    </w:p>
    <w:p>
      <w:pPr>
        <w:pStyle w:val="BodyText"/>
        <w:spacing w:after="40" w:line="240" w:lineRule="auto"/>
      </w:pPr>
      <w:r>
        <w:rPr>
          <w:rFonts w:ascii="Times New Roman" w:hAnsi="Times New Roman" w:eastAsia="Times New Roman"/>
          <w:b/>
          <w:sz w:val="16"/>
        </w:rPr>
        <w:t>Integrity validator—</w:t>
      </w:r>
      <w:r>
        <w:rPr>
          <w:rFonts w:ascii="Times New Roman" w:hAnsi="Times New Roman" w:eastAsia="Times New Roman"/>
          <w:sz w:val="16"/>
        </w:rPr>
        <w:t>Uç referansı, mapping tutarlılığı, evidence_id benzersizliği, izolasyon politikası ve CSV-CYJS uyumunu denetleyen bu çalışmaya özgü fail-closed araçtır. PROV-O ve SHACL köken/constraint ilkeleri kavramsal dayanak sağlar; uygulama özel Python kurallarıdır [13], [35], [36].</w:t>
      </w:r>
    </w:p>
    <w:p>
      <w:pPr>
        <w:pStyle w:val="BodyText"/>
        <w:spacing w:after="40" w:line="240" w:lineRule="auto"/>
      </w:pPr>
      <w:r>
        <w:rPr>
          <w:rFonts w:ascii="Times New Roman" w:hAnsi="Times New Roman" w:eastAsia="Times New Roman"/>
          <w:b/>
          <w:sz w:val="16"/>
        </w:rPr>
        <w:t>Git ve birleşik doğrulama—</w:t>
      </w:r>
      <w:r>
        <w:rPr>
          <w:rFonts w:ascii="Times New Roman" w:hAnsi="Times New Roman" w:eastAsia="Times New Roman"/>
          <w:sz w:val="16"/>
        </w:rPr>
        <w:t>Kaynak, veri ve portal değişikliklerinin sürümlenmesini; ardışık validate_all koşumları ise semantik sonuç ve hash kararlılığını denetler. Bu, artefakt yeniden üretilebilirliğini destekler; ham telemetri özgünlüğünü veya senaryonun gerçekten çalıştığını tek başına kanıtlamaz [13], [50]–[53].</w:t>
      </w:r>
    </w:p>
    <w:p>
      <w:pPr>
        <w:pStyle w:val="BodyText"/>
        <w:spacing w:after="40" w:line="240" w:lineRule="auto"/>
      </w:pPr>
      <w:r>
        <w:rPr>
          <w:rFonts w:ascii="Times New Roman" w:hAnsi="Times New Roman" w:eastAsia="Times New Roman"/>
          <w:sz w:val="16"/>
        </w:rPr>
        <w:t>Araç zincirindeki sorumluluk sınırı nettir: ürünler telemetriyi üretir, taşır, analiz eder veya görselleştirir; SACI skorlayıcı kapsam tablolarından bileşenleri hesaplar; graph builder köken ilişkilerini temsil eder; integrity validator yayın uygunluğunu belirler. Hiçbir görselleştirme aracı veya LLM sayısal skoru ve VALID/OPEN kararını değiştiremez.</w:t>
      </w:r>
    </w:p>
    <w:p>
      <w:pPr>
        <w:pStyle w:val="Heading2"/>
        <w:spacing w:before="120" w:after="60"/>
        <w:ind w:firstLine="0"/>
        <w:jc w:val="left"/>
      </w:pPr>
      <w:r>
        <w:rPr>
          <w:rFonts w:ascii="Times New Roman" w:hAnsi="Times New Roman" w:eastAsia="Times New Roman"/>
          <w:b/>
          <w:i w:val="0"/>
          <w:sz w:val="20"/>
          <w:lang w:val="tr-TR" w:eastAsia="tr-TR"/>
        </w:rPr>
        <w:t>D. Kontrollü Senaryo Orkestrasyonu</w:t>
      </w:r>
    </w:p>
    <w:p>
      <w:pPr>
        <w:pStyle w:val="BodyText"/>
        <w:spacing w:before="0" w:after="40" w:line="240" w:lineRule="auto"/>
        <w:ind w:firstLine="259"/>
      </w:pPr>
      <w:r>
        <w:rPr>
          <w:rFonts w:ascii="Times New Roman" w:hAnsi="Times New Roman" w:eastAsia="Times New Roman"/>
          <w:b w:val="0"/>
          <w:i w:val="0"/>
          <w:sz w:val="16"/>
          <w:lang w:val="tr-TR" w:eastAsia="tr-TR"/>
        </w:rPr>
        <w:t>Yayımlanan saldırı çalıştırıcısı yalnızca DC01/Windows yolunu yürütür. Betik /opt/windows-control dizininde inventory.ini envanterini kullanır ve Ansible win_shell modülüyle dc01 hedefine bağlanır. Windows yönetimi için Ansible, WinRM ve uygun kimlik doğrulama/şifreleme yapılandırmasına dayanır [24]. Çalıştırıcı Wazuh ana makinesinde zararsız bir Python HTTP sunucusu açar; hesap, etki alanı, ağ ve paylaşım keşfi, DNS IOC sorgusu ve zararsız dosya aktarımı davranışlarını üretir. Her komut senaryo, ATT&amp;CK, kural ve dönüş kodu alanlarıyla JSONL biçiminde kaydedilir.</w:t>
      </w:r>
    </w:p>
    <w:p>
      <w:pPr>
        <w:pStyle w:val="BodyText"/>
        <w:spacing w:before="0" w:after="40" w:line="240" w:lineRule="auto"/>
        <w:ind w:firstLine="259"/>
      </w:pPr>
      <w:r>
        <w:rPr>
          <w:rFonts w:ascii="Times New Roman" w:hAnsi="Times New Roman" w:eastAsia="Times New Roman"/>
          <w:b w:val="0"/>
          <w:i w:val="0"/>
          <w:sz w:val="16"/>
          <w:lang w:val="tr-TR" w:eastAsia="tr-TR"/>
        </w:rPr>
        <w:t>Çalıştırıcı son komuttan sonra Wazuh ingestion için 90 saniye bekler ve /var/ossec/logs/alerts/alerts.json içindeki ilgili özel kural kimliklerini denetler. Linux, pfSense ve CTI yolları için nihai kapsam ve alarm kanıtı yayımlanmıştır; Vagrant iskelesi bu roller için temsili altyapı sağlar, ancak eşdeğer davranış üretimi ve canlı servis kurulumu betikleri sunmaz. Bu nedenle Windows/DC01 orkestrasyonu ile diğer bileşenlerin sonuç kanıtları aynı yeniden üretilebilirlik düzeyinde değildir.</w:t>
      </w:r>
    </w:p>
    <w:p>
      <w:pPr>
        <w:pStyle w:val="Heading2"/>
        <w:spacing w:before="120" w:after="60"/>
        <w:ind w:firstLine="0"/>
        <w:jc w:val="left"/>
      </w:pPr>
      <w:r>
        <w:rPr>
          <w:rFonts w:ascii="Times New Roman" w:hAnsi="Times New Roman" w:eastAsia="Times New Roman"/>
          <w:b/>
          <w:i w:val="0"/>
          <w:sz w:val="20"/>
          <w:lang w:val="tr-TR" w:eastAsia="tr-TR"/>
        </w:rPr>
        <w:t>E. Veri Toplama, Skorlama ve Yayın</w:t>
      </w:r>
    </w:p>
    <w:p>
      <w:pPr>
        <w:pStyle w:val="BodyText"/>
        <w:spacing w:before="0" w:after="40" w:line="240" w:lineRule="auto"/>
        <w:ind w:firstLine="259"/>
      </w:pPr>
      <w:r>
        <w:rPr>
          <w:rFonts w:ascii="Times New Roman" w:hAnsi="Times New Roman" w:eastAsia="Times New Roman"/>
          <w:b w:val="0"/>
          <w:i w:val="0"/>
          <w:sz w:val="16"/>
          <w:lang w:val="tr-TR" w:eastAsia="tr-TR"/>
        </w:rPr>
        <w:t>Skorlama hattı Wazuh alarmlarını /var/ossec/logs/alerts/alerts.json, MISP zenginleştirme kayıtlarını /var/log/wazuh-misp/misp-enrichment.log, normalize senaryo olaylarını /var/log/saci/saci-scenario-events.log ve pfSense kanıtını /var/log/saci/pfsense-events.log yollarından okur. Varlık ve kaynak ilişkilendirmesi Wazuh agent adı/kimliği, sağlayıcı, kanal, olay konumu, kural kimliği ve ATT&amp;CK metaverisini kullanır. Kapsam envanteri, kontrol tanımları, teknik kapsam, IOC beklentileri ve ağırlıklar /opt/saci-lab/data altındaki CSV girdilerinden alınır.</w:t>
      </w:r>
    </w:p>
    <w:p>
      <w:pPr>
        <w:pStyle w:val="BodyText"/>
        <w:spacing w:before="0" w:after="40" w:line="240" w:lineRule="auto"/>
        <w:ind w:firstLine="259"/>
      </w:pPr>
      <w:r>
        <w:rPr>
          <w:rFonts w:ascii="Times New Roman" w:hAnsi="Times New Roman" w:eastAsia="Times New Roman"/>
          <w:b w:val="0"/>
          <w:i w:val="0"/>
          <w:sz w:val="16"/>
          <w:lang w:val="tr-TR" w:eastAsia="tr-TR"/>
        </w:rPr>
        <w:t>Yayımlanan Python skorlayıcı bu girdilerden bileşen ve kapsam tablolarını, graf oluşturucu ise düğüm/kenar dosyaları ile CYJS ve Mermaid temsillerini türetir. ATT&amp;CK teknik kimlikleri resmî STIX/TAXII veri kaynaklarıyla doğrulanabilir [25]. Skor ve graf aynı türetilmiş tablolara dayandığından graf bağımsız doğrulama veri kümesi değil, skor kökenini izlenebilir kılan temsildir. Yayın paketi skor, graf, reason-code, bütünlük politikası/bulguları, birleşik doğrulayıcı, SHA256SUMS kaydı ve Vagrant iskelesini içerir; portal bu değişmez artefaktların açıklayıcı görünümüdür [13].</w:t>
      </w:r>
    </w:p>
    <w:p>
      <w:pPr>
        <w:pStyle w:val="Heading2"/>
        <w:spacing w:before="120" w:after="60"/>
        <w:ind w:firstLine="0"/>
        <w:jc w:val="left"/>
      </w:pPr>
      <w:r>
        <w:rPr>
          <w:rFonts w:ascii="Times New Roman" w:hAnsi="Times New Roman" w:eastAsia="Times New Roman"/>
          <w:b/>
          <w:i w:val="0"/>
          <w:sz w:val="20"/>
          <w:lang w:val="tr-TR" w:eastAsia="tr-TR"/>
        </w:rPr>
        <w:t>F. Tarihsel Duyarlılık Serisi</w:t>
      </w:r>
    </w:p>
    <w:p>
      <w:pPr>
        <w:pStyle w:val="BodyText"/>
        <w:spacing w:before="0" w:after="40" w:line="240" w:lineRule="auto"/>
        <w:ind w:firstLine="259"/>
      </w:pPr>
      <w:r>
        <w:rPr>
          <w:rFonts w:ascii="Times New Roman" w:hAnsi="Times New Roman" w:eastAsia="Times New Roman"/>
          <w:b w:val="0"/>
          <w:i w:val="0"/>
          <w:sz w:val="16"/>
          <w:lang w:val="tr-TR" w:eastAsia="tr-TR"/>
        </w:rPr>
        <w:t>Nihai yayın anlık görüntüsü birincil sonuçtur. Ayrı S0-S18 serisi, SIEM kurulumundan tam kapanışa ve kritik/nonkritik telemetri, CTI, tazelik ile kural kayıplarına uzanan 20 deterministik duyarlılık senaryosu içerir. S7'nin A/B dalları nedeniyle 19 etiket altında 20 koşul bulunur. Tarihsel S8'in 95/173 grafı, farklı kapsam ve üretim hattı kullanan kanonik 99/171 grafıyla birleştirilmez.</w:t>
      </w:r>
    </w:p>
    <w:p>
      <w:pPr>
        <w:pStyle w:val="Heading2"/>
        <w:spacing w:before="120" w:after="60"/>
        <w:ind w:firstLine="0"/>
        <w:jc w:val="left"/>
      </w:pPr>
      <w:r>
        <w:rPr>
          <w:rFonts w:ascii="Times New Roman" w:hAnsi="Times New Roman" w:eastAsia="Times New Roman"/>
          <w:b/>
          <w:i w:val="0"/>
          <w:sz w:val="20"/>
          <w:lang w:val="tr-TR" w:eastAsia="tr-TR"/>
        </w:rPr>
        <w:t>G. Kurulumun Yeniden Üretilebilirlik Sınırı</w:t>
      </w:r>
    </w:p>
    <w:p>
      <w:pPr>
        <w:pStyle w:val="BodyText"/>
        <w:spacing w:before="0" w:after="40" w:line="240" w:lineRule="auto"/>
        <w:ind w:firstLine="259"/>
      </w:pPr>
      <w:r>
        <w:rPr>
          <w:rFonts w:ascii="Times New Roman" w:hAnsi="Times New Roman" w:eastAsia="Times New Roman"/>
          <w:b w:val="0"/>
          <w:i w:val="0"/>
          <w:sz w:val="16"/>
          <w:lang w:val="tr-TR" w:eastAsia="tr-TR"/>
        </w:rPr>
        <w:t>Yayımlanan artefaktlar laboratuvar rollerini, IP adreslerini, gözlenen veri yollarını, formülleri ve nihai çıktıları denetlemeye; Vagrant iskelesi ise topoloji ve paket doğrulamasını yeniden çalıştırmaya yeterlidir. Bununla birlikte özgün Wazuh, MISP, pfSense, Sysmon, Windows ve Ubuntu sürümleri; ajan kayıt komutları; özel decoder/kural dosyaları; Sysmon XML'i; PowerShell ilkeleri; pfSense forwarding ayarları; MISP kimlik bilgileri, ham canlı log anlık görüntüsü ve uçtan uca servis otomasyonu korunmamıştır. Bu nedenle iskele yeniden üretim başlangıç noktasıdır, özgün ortamın tam dijital ikizi değildir.</w:t>
      </w:r>
    </w:p>
    <w:p>
      <w:pPr>
        <w:pStyle w:val="Heading2"/>
      </w:pPr>
      <w:r>
        <w:t>H. Vagrant Tabanlı Yeniden Üretim İskelesi</w:t>
      </w:r>
    </w:p>
    <w:p>
      <w:pPr>
        <w:pStyle w:val="BodyText"/>
        <w:spacing w:after="40" w:line="240" w:lineRule="auto"/>
      </w:pPr>
      <w:r>
        <w:rPr>
          <w:rFonts w:ascii="Times New Roman" w:hAnsi="Times New Roman" w:eastAsia="Times New Roman"/>
          <w:sz w:val="16"/>
        </w:rPr>
        <w:t>Yeniden üretim paketi Vagrantfile, lab/topology.json, provisioning betikleri ve doğrulama yardımcılarından oluşur. Vagrant ağ ve provider soyutlaması, çok makineli ortam tanımı ve provisioning işlevleri sağlar [46]–[49]. evidence profili yalnız WSIEM rolünü başlatıp kanonik artefaktların bütünlük ve kapsam kontrollerini yürütür; portable profil Linux tabanlı temsilcilerle topolojiyi sınar; native profil ise Windows/FreeBSD gibi özgün roller için sağlayıcı uyumlu kutuları kullanıcıdan bekler. Bu profiller tam dijital ikiz iddiası değil, farklı yeniden üretim güvence düzeyleridir.</w:t>
      </w:r>
    </w:p>
    <w:p>
      <w:pPr>
        <w:pStyle w:val="BodyText"/>
        <w:spacing w:after="40" w:line="240" w:lineRule="auto"/>
      </w:pPr>
      <w:r>
        <w:rPr>
          <w:rFonts w:ascii="Times New Roman" w:hAnsi="Times New Roman" w:eastAsia="Times New Roman"/>
          <w:sz w:val="16"/>
        </w:rPr>
        <w:t>Ağ modu, servis kurulumunun etkinleştirilmesi ve sağlayıcıya özgü erişim değişkenleri ortam değişkenleriyle dışarıdan verilir. Parola veya sağlayıcı sırrı depoya gömülmez. Bu tercih hem güvenlik hem de deneysel şeffaflık açısından önemlidir: yayımlanan iskele hangi varsayımların otomatik, hangilerinin kullanıcı veya altyapı tarafından sağlanması gerektiğini görünür kılar.</w:t>
      </w:r>
    </w:p>
    <w:p>
      <w:pPr>
        <w:pStyle w:val="BodyText"/>
        <w:spacing w:after="40" w:line="240" w:lineRule="auto"/>
      </w:pPr>
      <w:r>
        <w:rPr>
          <w:rFonts w:ascii="Times New Roman" w:hAnsi="Times New Roman" w:eastAsia="Times New Roman"/>
          <w:sz w:val="16"/>
        </w:rPr>
        <w:t>İskele iki ayrı hedefi destekler. Birincisi, makaledeki kanonik CSV/JSON/CYJS çıktılarının yeniden hesaplanması ve validator sonuçlarının tekrarlanmasıdır. İkincisi, varlık ve veri akışı rollerinin bağımsız bir ortamda yeniden kurulmasına başlangıç sağlamaktır. Kesin ürün sürümleri, lisanslı veya özel kutular, özgün sırlar ve ham telemetri korunmadığından ikinci hedef kısmi düzeydedir. Bu nedenle çalışma, artefakt yeniden üretilebilirliği ile ortam yeniden üretilebilirliğini aynı kavram olarak sunmaz.</w:t>
      </w:r>
    </w:p>
    <w:p>
      <w:pPr>
        <w:pStyle w:val="BodyText"/>
        <w:spacing w:after="40" w:line="240" w:lineRule="auto"/>
      </w:pPr>
      <w:r>
        <w:rPr>
          <w:rFonts w:ascii="Times New Roman" w:hAnsi="Times New Roman" w:eastAsia="Times New Roman"/>
          <w:sz w:val="16"/>
        </w:rPr>
        <w:t>Kanonik sonuç doğrulaması ruby -c Vagrantfile, topology.json şema denetimi, validate_integrity.py, validate_academic_site.py ve validate_all.py zinciriyle gerçekleştirilir. Aynı doğrulama zincirinin ardışık iki koşumda değişmeyen hash ve aynı VALID/OPEN sonucunu üretmesi, yayın paketinin tekrarlanabilirliğine ilişkin ek bir regresyon kontrolüdür.</w:t>
      </w:r>
    </w:p>
    <w:p>
      <w:pPr>
        <w:pStyle w:val="Heading1"/>
        <w:spacing w:before="120" w:after="60"/>
        <w:ind w:firstLine="0"/>
        <w:jc w:val="center"/>
      </w:pPr>
      <w:r>
        <w:t>V. NİHAİ SONUÇLAR VE DOĞRULAMA</w:t>
      </w:r>
    </w:p>
    <w:p>
      <w:pPr>
        <w:pStyle w:val="Heading2"/>
      </w:pPr>
      <w:r>
        <w:t>A. Kanonik Kapsam Sonucu</w:t>
      </w:r>
    </w:p>
    <w:p>
      <w:pPr>
        <w:pStyle w:val="BodyText"/>
        <w:spacing w:before="0" w:after="40" w:line="240" w:lineRule="auto"/>
        <w:ind w:firstLine="259"/>
      </w:pPr>
      <w:r>
        <w:rPr>
          <w:rFonts w:ascii="Times New Roman" w:hAnsi="Times New Roman" w:eastAsia="Times New Roman"/>
          <w:b w:val="0"/>
          <w:i w:val="0"/>
          <w:sz w:val="16"/>
          <w:lang w:val="tr-TR" w:eastAsia="tr-TR"/>
        </w:rPr>
        <w:t>Nihai değerlendirmede 6 varlık için 12/12 varlık-log çifti gözlenmiştir. 27 kontrol satırından C003 ve C004 legacy olarak disabled bırakılmış, kalan 25 etkin kontrolün tamamı görülmüştür. Kapsam içi 13 tekniğin tamamı covered=1; iki IOC kaydındaki dört uygulama bayrağının tamamı 1'dir.</w:t>
      </w:r>
    </w:p>
    <w:p>
      <w:pPr>
        <w:pStyle w:val="BodyText"/>
        <w:spacing w:after="40" w:line="240" w:lineRule="auto"/>
        <w:ind w:firstLine="0" w:left="173"/>
      </w:pPr>
      <w:r>
        <w:rPr>
          <w:rFonts w:ascii="Times New Roman" w:hAnsi="Times New Roman" w:eastAsia="Times New Roman"/>
          <w:b/>
          <w:i w:val="0"/>
          <w:sz w:val="18"/>
          <w:lang w:val="tr-TR" w:eastAsia="tr-TR"/>
        </w:rPr>
        <w:t>CWLC: 100.0 (ağırlık 0.30; 6 varlık ve 12/12 beklenen log çifti).</w:t>
      </w:r>
    </w:p>
    <w:p>
      <w:pPr>
        <w:pStyle w:val="BodyText"/>
        <w:spacing w:after="40" w:line="240" w:lineRule="auto"/>
        <w:ind w:firstLine="0" w:left="173"/>
      </w:pPr>
      <w:r>
        <w:rPr>
          <w:rFonts w:ascii="Times New Roman" w:hAnsi="Times New Roman" w:eastAsia="Times New Roman"/>
          <w:b/>
          <w:i w:val="0"/>
          <w:sz w:val="18"/>
          <w:lang w:val="tr-TR" w:eastAsia="tr-TR"/>
        </w:rPr>
        <w:t>CAC: 100.0 (ağırlık 0.25; 25/25 etkin kontrol, aktif ağırlık 23.3/23.3).</w:t>
      </w:r>
    </w:p>
    <w:p>
      <w:pPr>
        <w:pStyle w:val="BodyText"/>
        <w:spacing w:after="40" w:line="240" w:lineRule="auto"/>
        <w:ind w:firstLine="0" w:left="173"/>
      </w:pPr>
      <w:r>
        <w:rPr>
          <w:rFonts w:ascii="Times New Roman" w:hAnsi="Times New Roman" w:eastAsia="Times New Roman"/>
          <w:b/>
          <w:i w:val="0"/>
          <w:sz w:val="18"/>
          <w:lang w:val="tr-TR" w:eastAsia="tr-TR"/>
        </w:rPr>
        <w:t>MDC: 100.0 (ağırlık 0.20; 13/13 beyan edilmiş kapsam içi teknik).</w:t>
      </w:r>
    </w:p>
    <w:p>
      <w:pPr>
        <w:pStyle w:val="BodyText"/>
        <w:spacing w:after="40" w:line="240" w:lineRule="auto"/>
        <w:ind w:firstLine="0" w:left="173"/>
      </w:pPr>
      <w:r>
        <w:rPr>
          <w:rFonts w:ascii="Times New Roman" w:hAnsi="Times New Roman" w:eastAsia="Times New Roman"/>
          <w:b/>
          <w:i w:val="0"/>
          <w:sz w:val="18"/>
          <w:lang w:val="tr-TR" w:eastAsia="tr-TR"/>
        </w:rPr>
        <w:t>CTIC: 100.0 (ağırlık 0.15; 2 IOC x 4 bayrak = 8/8).</w:t>
      </w:r>
    </w:p>
    <w:p>
      <w:pPr>
        <w:pStyle w:val="BodyText"/>
        <w:spacing w:after="40" w:line="240" w:lineRule="auto"/>
        <w:ind w:firstLine="0" w:left="173"/>
      </w:pPr>
      <w:r>
        <w:rPr>
          <w:rFonts w:ascii="Times New Roman" w:hAnsi="Times New Roman" w:eastAsia="Times New Roman"/>
          <w:b/>
          <w:i w:val="0"/>
          <w:sz w:val="18"/>
          <w:lang w:val="tr-TR" w:eastAsia="tr-TR"/>
        </w:rPr>
        <w:t>TF: 100 (ağırlık 0.10; küresel en yeni olay skor çalıştırma anında ≤60 dakika kademesinde).</w:t>
      </w:r>
    </w:p>
    <w:p>
      <w:pPr>
        <w:pStyle w:val="BodyText"/>
        <w:spacing w:after="40" w:line="240" w:lineRule="auto"/>
        <w:ind w:firstLine="0" w:left="173"/>
      </w:pPr>
      <m:oMath>
        <m:r>
          <w:rPr>
            <w:sz w:val="20"/>
            <w:szCs w:val="20"/>
            <w:lang w:val="tr-TR" w:eastAsia="tr-TR"/>
          </w:rPr>
          <m:t>0.30+0.25+0.20+0.15+0.10=1.00</m:t>
        </m:r>
      </m:oMath>
      <w:r>
        <w:rPr>
          <w:rFonts w:ascii="Times New Roman" w:hAnsi="Times New Roman" w:eastAsia="Times New Roman"/>
          <w:i w:val="0"/>
          <w:sz w:val="18"/>
          <w:lang w:val="tr-TR" w:eastAsia="tr-TR"/>
        </w:rPr>
        <w:br/>
      </w:r>
      <m:oMath>
        <m:r>
          <m:rPr>
            <m:sty m:val="p"/>
          </m:rPr>
          <w:rPr>
            <w:sz w:val="20"/>
            <w:szCs w:val="20"/>
            <w:lang w:val="tr-TR" w:eastAsia="tr-TR"/>
          </w:rPr>
          <m:t>SACI</m:t>
        </m:r>
        <m:r>
          <w:rPr>
            <w:sz w:val="20"/>
            <w:szCs w:val="20"/>
            <w:lang w:val="tr-TR" w:eastAsia="tr-TR"/>
          </w:rPr>
          <m:t>=</m:t>
        </m:r>
        <m:f>
          <m:fPr>
            <m:type m:val="bar"/>
          </m:fPr>
          <m:num>
            <m:r>
              <w:rPr>
                <w:sz w:val="20"/>
                <w:szCs w:val="20"/>
                <w:lang w:val="tr-TR" w:eastAsia="tr-TR"/>
              </w:rPr>
              <m:t>1.00×100</m:t>
            </m:r>
          </m:num>
          <m:den>
            <m:r>
              <w:rPr>
                <w:sz w:val="20"/>
                <w:szCs w:val="20"/>
                <w:lang w:val="tr-TR" w:eastAsia="tr-TR"/>
              </w:rPr>
              <m:t>1.00</m:t>
            </m:r>
          </m:den>
        </m:f>
        <m:r>
          <w:rPr>
            <w:sz w:val="20"/>
            <w:szCs w:val="20"/>
            <w:lang w:val="tr-TR" w:eastAsia="tr-TR"/>
          </w:rPr>
          <m:t>=100.0</m:t>
        </m:r>
      </m:oMath>
    </w:p>
    <w:p>
      <w:pPr>
        <w:pStyle w:val="BodyText"/>
        <w:spacing w:before="0" w:after="40" w:line="240" w:lineRule="auto"/>
        <w:ind w:firstLine="259"/>
      </w:pPr>
      <w:r>
        <w:rPr>
          <w:rFonts w:ascii="Times New Roman" w:hAnsi="Times New Roman" w:eastAsia="Times New Roman"/>
          <w:b w:val="0"/>
          <w:i w:val="0"/>
          <w:sz w:val="16"/>
          <w:lang w:val="tr-TR" w:eastAsia="tr-TR"/>
        </w:rPr>
        <w:t>SACI=100, tanımlı nihai yayın kanıt evrenindeki bileşen beklentilerinin uygulanmış kurallar altında kapandığını gösterir. Bu sonuç ortamın güvenli olduğunu, tüm saldırıların algılanacağını, tüm Enterprise ATT&amp;CK bilgi tabanının kapsandığını veya yanlış pozitif/negatif oranlarının ölçüldüğünü göstermez.</w:t>
      </w:r>
    </w:p>
    <w:p>
      <w:pPr>
        <w:pStyle w:val="Heading2"/>
      </w:pPr>
      <w:r>
        <w:t>B. Ön Yayın Bütünlük Vakası F-01</w:t>
      </w:r>
    </w:p>
    <w:p>
      <w:pPr>
        <w:pStyle w:val="BodyText"/>
        <w:spacing w:before="0" w:after="40" w:line="240" w:lineRule="auto"/>
        <w:ind w:firstLine="259"/>
      </w:pPr>
      <w:r>
        <w:rPr>
          <w:rFonts w:ascii="Times New Roman" w:hAnsi="Times New Roman" w:eastAsia="Times New Roman"/>
        </w:rPr>
        <w:t>F-01 teorik bir keşif olarak değil, ön yayın doğrulamasında bulunan bir artefakt üretim kusuru ve bağımsız bütünlük kapısı için somut regresyon vakası olarak raporlanmaktadır. Sayısal sonuç 100 ve 171/171 ilişki satırı observed=1 iken, renderer yalnız 97 beyana karşı 99 düğüm üretmiş; LOGSOURCE:Wazuh ile MITRE:T1071.001 uçları envanterde bulunmamıştır. Ayrıca altı paralel üçlü benzersiz kanıt kimliği taşımamış, altı izole düğüm politika gerekçesine sahip olmamış ve Rule 110203 kontrol ile CTI tablolarında uyumsuz doğrudan eşleme semantiği taşımıştır.</w:t>
      </w:r>
    </w:p>
    <w:p>
      <w:pPr>
        <w:pStyle w:val="BodyText"/>
        <w:spacing w:after="40" w:line="240" w:lineRule="auto"/>
      </w:pPr>
      <w:r>
        <w:rPr>
          <w:rFonts w:ascii="Times New Roman" w:hAnsi="Times New Roman" w:eastAsia="Times New Roman"/>
          <w:sz w:val="16"/>
        </w:rPr>
        <w:t>İlk koşumda skor tablosu ile kenar tablosu kendi içlerinde aritmetik olarak tam görünmekteydi: tüm beş bileşen 100, SACI 100 ve observed alanı 171 satırın tamamında 1 idi. Buna rağmen düğüm envanteri yalnız 97 kimlik içerirken renderer 99 düğüm oluşturuyordu. Farkın nedeni LOGSOURCE:Wazuh ve MITRE:T1071.001 uçlarının kenarlarda kullanıldığı halde düğüm tablosunda beyan edilmemesiydi. Bu durum, görsel katmanın eksik uçlar için örtük yer tutucu üretmesinin sayısal kapanıştan bağımsız bir veri sorunu olduğunu göstermiştir.</w:t>
      </w:r>
    </w:p>
    <w:p>
      <w:pPr>
        <w:pStyle w:val="BodyText"/>
        <w:spacing w:after="40" w:line="240" w:lineRule="auto"/>
      </w:pPr>
      <w:r>
        <w:rPr>
          <w:rFonts w:ascii="Times New Roman" w:hAnsi="Times New Roman" w:eastAsia="Times New Roman"/>
          <w:sz w:val="16"/>
        </w:rPr>
        <w:t>Aynı denetim Rule 110203 için iki farklı semantik bulmuştur. Kontrol tablosu kuralı T1071.001 ile bağlarken CTIC zinciri T1071.004 değerini doğrudan mapping gibi taşıyordu. Tekniklerin ikisini de kural eşlemesi olarak kabul etmek skorun aritmetiğini değiştirmese de yöntemsel anlamı değiştirirdi. Çözüm, doğrudan tespit eşlemesini T1071.001 olarak sabitlemek ve T1071.004 ilişkisini CTI tarafından sağlanan bağlam olarak contextualized_as etiketiyle ayırmak olmuştur.</w:t>
      </w:r>
    </w:p>
    <w:p>
      <w:pPr>
        <w:pStyle w:val="BodyText"/>
        <w:spacing w:after="40" w:line="240" w:lineRule="auto"/>
      </w:pPr>
      <w:r>
        <w:rPr>
          <w:rFonts w:ascii="Times New Roman" w:hAnsi="Times New Roman" w:eastAsia="Times New Roman"/>
          <w:sz w:val="16"/>
        </w:rPr>
        <w:t>Altı yinelenen kaynak-ilişki-hedef üçlüsü silinmemiştir; çünkü Security ve Sysmon toplama yolları, iki Wazuh kuralının alarm üretimi ve MISP entegrasyon zinciri farklı kanıt örneklerini temsil etmektedir. Her satıra benzersiz evidence_id atanarak satır düzeyi izlenebilirlik korunmuştur. C003, C004, RULE:92052, RULE:92057, MITRE:T1059.003 ve METRIC:SACI düğümleri ise tarihsel/devre dışı veya aggregate rolleri nedeniyle açık izolasyon istisnası olarak integrity_policy.json içinde gerekçelendirilmiştir.</w:t>
      </w:r>
    </w:p>
    <w:p>
      <w:pPr>
        <w:pStyle w:val="BodyText"/>
        <w:spacing w:after="40" w:line="240" w:lineRule="auto"/>
      </w:pPr>
      <w:r>
        <w:rPr>
          <w:rFonts w:ascii="Times New Roman" w:hAnsi="Times New Roman" w:eastAsia="Times New Roman"/>
          <w:sz w:val="16"/>
        </w:rPr>
        <w:t>Düzeltme sonrası validator üç INVALID ve on iki WARNING bulgusunu sıfıra indirmiştir. Düğüm envanteri ile CYJS renderer 99/99 üzerinde eşleşmiş, 171 ilişkinin tamamı geçerli uçlara bağlanmış, 171 benzersiz evidence_id doğrulanmış ve yayın kapısı OPEN olmuştur. Bütünlük düzeltmesi kapsam tablolarındaki pay ve paydaları değiştirmediği için beş bileşen ve SACI 100 olarak kalmıştır. Bu değişmeme, skorun bütünlük kontrolünden bağımsız hesaplandığını; yayının ise iki koşulun birlikte sağlanmasına bağlı olduğunu gösterir.</w:t>
      </w:r>
    </w:p>
    <w:p>
      <w:pPr>
        <w:pStyle w:val="BodyText"/>
        <w:spacing w:after="40" w:line="240" w:lineRule="auto"/>
      </w:pPr>
      <w:r>
        <w:rPr>
          <w:rFonts w:ascii="Times New Roman" w:hAnsi="Times New Roman" w:eastAsia="Times New Roman"/>
        </w:rPr>
        <w:t>Bu vaka, skor hesaplaması ile yayın doğrulamasının bağımsız olması gerektiğini göstermiştir; ancak RQ2 için genel kanıt tek bir yazılım kusuruna dayandırılmamıştır. Aşağıdaki kontrollü kusur matrisi, farklı referans, şema, eşleme, temsil, kanıt kimliği ve politika sınıflarında kapının beklenen seçiciliğini sınar.</w:t>
      </w:r>
    </w:p>
    <w:p>
      <w:pPr>
        <w:pStyle w:val="Heading2"/>
      </w:pPr>
      <w:r>
        <w:t>C. Kontrollü Bütünlük Kusuru Enjeksiyonu</w:t>
      </w:r>
    </w:p>
    <w:p>
      <w:pPr>
        <w:pStyle w:val="BodyText"/>
        <w:spacing w:after="40" w:line="240" w:lineRule="auto"/>
      </w:pPr>
      <w:r>
        <w:rPr>
          <w:rFonts w:ascii="Times New Roman" w:hAnsi="Times New Roman" w:eastAsia="Times New Roman"/>
        </w:rPr>
        <w:t>Dokuz vakalı deneyde gözlenen durumların tamamı önceden belirlenen beklentiyle eşleşmiştir. Referans, şema, eşleme, temsil ve evidence_id çelişkileri INVALID üretmiştir. Bilerek izole edilmiş bir düğümün politika gerekçesi kaldırıldığında VALID_WITH_WARNINGS ve BLOCKED sonucu alınmış; geçerli temel ile belgelenmiş izolasyon vakası VALID kalmıştır.</w:t>
      </w:r>
    </w:p>
    <w:p>
      <w:pPr>
        <w:pStyle w:val="BodyText"/>
        <w:spacing w:after="40" w:line="240" w:lineRule="auto"/>
      </w:pPr>
      <w:r>
        <w:rPr>
          <w:rFonts w:ascii="Times New Roman" w:hAnsi="Times New Roman" w:eastAsia="Times New Roman"/>
        </w:rPr>
        <w:t>Matris, bütünlük kapısının uygulanmış kural düzeyinde sayısal kapanışı yapısal olarak geçersiz veya insan incelemesi gerektiren yayın paketlerinden ayırabildiğini göstermektedir. Bu sonuç, upstream telemetrinin bütün olası anlamsal veya özgünlük hatalarının saptanabildiği anlamına gelmez.</w:t>
      </w:r>
    </w:p>
    <w:p>
      <w:pPr>
        <w:pStyle w:val="BodyText"/>
        <w:spacing w:after="40" w:line="240" w:lineRule="auto"/>
      </w:pPr>
      <w:r>
        <w:rPr>
          <w:rFonts w:ascii="Times New Roman" w:hAnsi="Times New Roman" w:eastAsia="Times New Roman"/>
        </w:rPr>
        <w:t>Geçerli temel: VALID / VALID; beyan edilmemiş uç: INVALID / INVALID; yinelenen düğüm kimliği: INVALID / INVALID.</w:t>
      </w:r>
    </w:p>
    <w:p>
      <w:pPr>
        <w:pStyle w:val="BodyText"/>
        <w:spacing w:after="40" w:line="240" w:lineRule="auto"/>
      </w:pPr>
      <w:r>
        <w:rPr>
          <w:rFonts w:ascii="Times New Roman" w:hAnsi="Times New Roman" w:eastAsia="Times New Roman"/>
        </w:rPr>
        <w:t>Çelişkili ATT&amp;CK eşlemesi: INVALID / INVALID; CSV-renderer uyuşmazlığı: INVALID / INVALID; eksik zorunlu edge alanı: INVALID / INVALID.</w:t>
      </w:r>
    </w:p>
    <w:p>
      <w:pPr>
        <w:pStyle w:val="BodyText"/>
        <w:spacing w:after="40" w:line="240" w:lineRule="auto"/>
      </w:pPr>
      <w:r>
        <w:rPr>
          <w:rFonts w:ascii="Times New Roman" w:hAnsi="Times New Roman" w:eastAsia="Times New Roman"/>
        </w:rPr>
        <w:t>Paralel evidence_id çakışması: INVALID / INVALID; gerekçesiz izole düğüm: VALID_WITH_WARNINGS / VALID_WITH_WARNINGS; belgelenmiş izole düğüm: VALID / VALID.</w:t>
      </w:r>
    </w:p>
    <w:p>
      <w:pPr>
        <w:pStyle w:val="Heading2"/>
      </w:pPr>
      <w:r>
        <w:t>D. Sentetik Bütünlük Kapısı Ölçeklenebilirliği</w:t>
      </w:r>
    </w:p>
    <w:p>
      <w:pPr>
        <w:pStyle w:val="BodyText"/>
        <w:spacing w:after="40" w:line="240" w:lineRule="auto"/>
      </w:pPr>
      <w:r>
        <w:rPr>
          <w:rFonts w:ascii="Times New Roman" w:hAnsi="Times New Roman" w:eastAsia="Times New Roman"/>
        </w:rPr>
        <w:t>Sentetik kardinalite deneyi kanonik grafın oranını ve paralel kanıt yapısını koruyarak her kopyaya benzersiz kimlikler atamıştır. Medyan doğrulama süresi 99 düğüm ve 171 satırda 0,778 ms iken, 99.000 düğüm ve 171.000 satırda 883,438 ms olmuştur. Medyan tepe izlenen bellek 0,035 MiB değerinden 41,17 MiB değerine yükselmiş; 28 zamanlı doğrulamanın tamamı VALID dönmüştür.</w:t>
      </w:r>
    </w:p>
    <w:p>
      <w:pPr>
        <w:pStyle w:val="BodyText"/>
        <w:spacing w:after="40" w:line="240" w:lineRule="auto"/>
      </w:pPr>
      <w:r>
        <w:rPr>
          <w:rFonts w:ascii="Times New Roman" w:hAnsi="Times New Roman" w:eastAsia="Times New Roman"/>
        </w:rPr>
        <w:t>Bu boyut aralığında gözlenen büyüme, düğüm ve ilişkiler üzerinde yaklaşık doğrusal geçiş yapan uygulama yapısıyla uyumludur. En büyük sentetik graf belirtilen ortamda bir saniyenin altında doğrulanmıştır. Sonuç, uçtan uca SIEM ölçeklenebilirliği, eşzamanlı ingestion kapasitesi veya tarayıcı görselleştirme performansı için kanıt değildir.</w:t>
      </w:r>
    </w:p>
    <w:p>
      <w:pPr>
        <w:pStyle w:val="BodyText"/>
        <w:spacing w:after="40" w:line="240" w:lineRule="auto"/>
      </w:pPr>
      <w:r>
        <w:rPr>
          <w:rFonts w:ascii="Times New Roman" w:hAnsi="Times New Roman" w:eastAsia="Times New Roman"/>
        </w:rPr>
        <w:t>1x: 99 düğüm, 171 satır, 0,778 ms, 0,035 MiB; 10x: 990 düğüm, 1.710 satır, 5,763 ms, 0,308 MiB.</w:t>
      </w:r>
    </w:p>
    <w:p>
      <w:pPr>
        <w:pStyle w:val="BodyText"/>
        <w:spacing w:after="40" w:line="240" w:lineRule="auto"/>
      </w:pPr>
      <w:r>
        <w:rPr>
          <w:rFonts w:ascii="Times New Roman" w:hAnsi="Times New Roman" w:eastAsia="Times New Roman"/>
        </w:rPr>
        <w:t>100x: 9.900 düğüm, 17.100 satır, 67,691 ms, 4,270 MiB; 1000x: 99.000 düğüm, 171.000 satır, 883,438 ms, 41,170 MiB.</w:t>
      </w:r>
    </w:p>
    <w:p>
      <w:pPr>
        <w:pStyle w:val="Heading2"/>
      </w:pPr>
      <w:r>
        <w:t>E. Deterministik Skor Duyarlılığı ve Arıza Enjeksiyonu</w:t>
      </w:r>
    </w:p>
    <w:p>
      <w:pPr>
        <w:pStyle w:val="BodyText"/>
        <w:spacing w:before="0" w:after="40" w:line="240" w:lineRule="auto"/>
        <w:ind w:firstLine="259"/>
      </w:pPr>
      <w:r>
        <w:rPr>
          <w:rFonts w:ascii="Times New Roman" w:hAnsi="Times New Roman" w:eastAsia="Times New Roman"/>
          <w:b w:val="0"/>
          <w:i w:val="0"/>
          <w:sz w:val="16"/>
          <w:lang w:val="tr-TR" w:eastAsia="tr-TR"/>
        </w:rPr>
        <w:t>Tarihsel duyarlılık serisi beklenen yönlü değişimleri üretmiştir: S0'da 0.00 olan skor S6 CTI entegrasyonunda 94.00 ve tarihsel S8 kapanışında 100.00 olmuştur. Kritik DC01 Sysmon kaybı S7A'da 78.53'e, nonkritik WS01 kaybı S7B'de 92.52'ye; CTI kaybı S12/S13'te 92.50'ye ve tazelik düşüşü S15'te 95.00'e gerilemiştir. S17 iyileştirme sonrası 100.00'dır.</w:t>
      </w:r>
    </w:p>
    <w:p>
      <w:pPr>
        <w:pStyle w:val="Heading2"/>
        <w:spacing w:before="120" w:after="60"/>
        <w:ind w:firstLine="0"/>
        <w:jc w:val="left"/>
      </w:pPr>
      <w:r>
        <w:t>F. Geçerlik Tehditleri</w:t>
      </w:r>
    </w:p>
    <w:p>
      <w:pPr>
        <w:pStyle w:val="BodyText"/>
        <w:spacing w:before="0" w:after="40" w:line="240" w:lineRule="auto"/>
        <w:ind w:firstLine="259"/>
      </w:pPr>
      <w:r>
        <w:rPr>
          <w:rFonts w:ascii="Times New Roman" w:hAnsi="Times New Roman" w:eastAsia="Times New Roman"/>
        </w:rPr>
        <w:t>Yapı geçerliği—SACI tanımlı kanıt kapanışını ölçer; algılama olasılığı, önleme etkinliği, yanlış alarm oranı, MTTD, artık risk veya iş etkisi ölçmez. İç geçerlik—Bazı senaryo kayıtlarında beklenen kural ve teknik etiketleri komut icrasından bağımsız kalabilir; CTIC lookup bayrağı beklenti türevlidir ve TF küresel en yeni olayı kullanır. Bütünlük kapısı şema ve graf çelişkilerini yakalar, ancak her upstream anlam veya özgünlük hatasını saptayamaz.</w:t>
      </w:r>
    </w:p>
    <w:p>
      <w:pPr>
        <w:pStyle w:val="BodyText"/>
        <w:spacing w:before="0" w:after="40" w:line="240" w:lineRule="auto"/>
        <w:ind w:firstLine="259"/>
      </w:pPr>
      <w:r>
        <w:rPr>
          <w:rFonts w:ascii="Times New Roman" w:hAnsi="Times New Roman" w:eastAsia="Times New Roman"/>
        </w:rPr>
        <w:t>Dış geçerlik—Değerlendirme tek bir altı-varlıklı Wazuh-MISP laboratuvarı, iki sentetik IOC, 13 seçili teknik ve sınırlı kontrollü senaryolara dayanır. Kardinalite deneyi canlı telemetriyi değil graf yapısını çoğaltır; bu nedenle yalnız bütünlük denetiminin hesaplama davranışını destekler. Yeniden üretilebilirlik—Paket aritmetik, graf, manifest ve validator tekrarını destekler; tüm özgün ürün sürümlerini, sırları, ham logları ve uçtan uca dijital ikizi içermez. İstatistiksel sonuç geçerliği—S0-S18 koşulları bağımsız örneklemler değil deterministik testlerdir; güven aralığı, nedensel etki veya saha genellemesi üretmez.</w:t>
      </w:r>
    </w:p>
    <w:p>
      <w:pPr>
        <w:pStyle w:val="Heading1"/>
        <w:spacing w:before="120" w:after="60"/>
        <w:ind w:firstLine="0"/>
        <w:jc w:val="center"/>
      </w:pPr>
      <w:r>
        <w:rPr>
          <w:rFonts w:ascii="Times New Roman" w:hAnsi="Times New Roman" w:eastAsia="Times New Roman"/>
          <w:b/>
          <w:i w:val="0"/>
          <w:sz w:val="20"/>
          <w:lang w:val="tr-TR" w:eastAsia="tr-TR"/>
        </w:rPr>
        <w:t>VI. UYGULAMA VE DENETLENEBİLİRLİK</w:t>
      </w:r>
    </w:p>
    <w:p>
      <w:pPr>
        <w:pStyle w:val="BodyText"/>
        <w:spacing w:before="0" w:after="40" w:line="240" w:lineRule="auto"/>
        <w:ind w:firstLine="259"/>
      </w:pPr>
      <w:r>
        <w:rPr>
          <w:rFonts w:ascii="Times New Roman" w:hAnsi="Times New Roman" w:eastAsia="Times New Roman"/>
          <w:b w:val="0"/>
          <w:i w:val="0"/>
          <w:sz w:val="16"/>
          <w:lang w:val="tr-TR" w:eastAsia="tr-TR"/>
        </w:rPr>
        <w:t>Uygulama; Windows senaryo çalıştırıcısı, deterministik Python skorlayıcısı, graf oluşturucu, bütünlük doğrulayıcısı ve birleşik release doğrulayıcısından oluşur. Kanonik ZIP 24 dosya içerir: kapsam/skor tabloları, düğüm/kenar verileri, CYJS/Mermaid grafı, reason-code ve bütünlük çıktıları, kaynak kod ve SHA256SUMS kaydı. Vagrantfile ile topology.json yeniden üretim iskelesini sağlar. Salt-okunur doğrulama koşumları ve SHA-256 kayıtları yayın kimliğinin kararlı olduğunu doğrular.</w:t>
      </w:r>
    </w:p>
    <w:p>
      <w:pPr>
        <w:pStyle w:val="BodyText"/>
        <w:spacing w:before="0" w:after="40" w:line="240" w:lineRule="auto"/>
        <w:ind w:firstLine="259"/>
      </w:pPr>
      <w:r>
        <w:rPr>
          <w:rFonts w:ascii="Times New Roman" w:hAnsi="Times New Roman" w:eastAsia="Times New Roman"/>
          <w:b w:val="0"/>
          <w:i w:val="0"/>
          <w:sz w:val="16"/>
          <w:lang w:val="tr-TR" w:eastAsia="tr-TR"/>
        </w:rPr>
        <w:t>Etkileşimli GitHub Pages portalı yöntem, mimari, nihai kanıt tabloları, senaryo seçicili graf, bütünlük sayfası, artefakt haritası ve yeniden üretim yönergelerini tek araştırma eki altında sunar [13]. Portal, tarihsel 97/99 INVALID bulgusunu kanonik 99/99 VALID sonuçtan ayırır; bütünlük ve yayın kapısı durumlarını görünür tutar.</w:t>
      </w:r>
    </w:p>
    <w:p>
      <w:pPr>
        <w:pStyle w:val="Heading2"/>
      </w:pPr>
      <w:r>
        <w:t>A. Kanonik Paketleme ve Hash Kararlılığı</w:t>
      </w:r>
    </w:p>
    <w:p>
      <w:pPr>
        <w:pStyle w:val="BodyText"/>
        <w:spacing w:after="40" w:line="240" w:lineRule="auto"/>
      </w:pPr>
      <w:r>
        <w:rPr>
          <w:rFonts w:ascii="Times New Roman" w:hAnsi="Times New Roman" w:eastAsia="Times New Roman"/>
          <w:sz w:val="16"/>
        </w:rPr>
        <w:t>Release üretim sırası da bütünlük modelinin parçasıdır. Önce skor ve graf çıktıları yazılır, ardından integrity validator sonuçları oluşturulur; manifest dosyası gerçek dosya boyutları ve SHA-256 özetleriyle güncellenir, kanonik ZIP paketlenir ve en son SHA256SUMS kaydı üretilir. Manifestin kendi hash'ini veya ZIP'in kendisini döngüsel biçimde özetlemesi engellenir. Böylece doğrulanması matematiksel olarak mümkün olmayan self-reference yapıları oluşmaz.</w:t>
      </w:r>
    </w:p>
    <w:p>
      <w:pPr>
        <w:pStyle w:val="BodyText"/>
        <w:spacing w:after="40" w:line="240" w:lineRule="auto"/>
      </w:pPr>
      <w:r>
        <w:rPr>
          <w:rFonts w:ascii="Times New Roman" w:hAnsi="Times New Roman" w:eastAsia="Times New Roman"/>
          <w:sz w:val="16"/>
        </w:rPr>
        <w:t>Kanonik paket 24 dosya içerir ve SHA256SUMS.txt dosyasını ZIP içinde de taşır. SHA-256, mesaj/dosya değişikliklerini özet değerindeki değişimle saptamak için FIPS 180-4'te tanımlanan hash ailesinin bir üyesidir [52]. validate_integrity.py --check salt okunur çalışır; bu modun integrity_summary.json dosyasını yeniden yazmaması, ardışık doğrulamalarda hash kararlılığını korur. GitHub Pages portalı repository'deki statik dosyaları yayımlar [50], [51]; validate_academic_site.py sayfa, veri seti, 99/99 düğüm, 171/171 ilişki, kapsam tabloları, tarihsel senaryo ayrımı ve yeniden üretim iskelesini denetler. validate_all.py ise site ve bütünlük kontrollerini tek fail-closed komutta birleştirir.</w:t>
      </w:r>
    </w:p>
    <w:p>
      <w:pPr>
        <w:pStyle w:val="BodyText"/>
        <w:spacing w:after="40" w:line="240" w:lineRule="auto"/>
      </w:pPr>
      <w:r>
        <w:rPr>
          <w:rFonts w:ascii="Times New Roman" w:hAnsi="Times New Roman" w:eastAsia="Times New Roman"/>
          <w:sz w:val="16"/>
        </w:rPr>
        <w:t>Aynı üç doğrulayıcının iki kez art arda çalıştırılması hem semantik sonucu hem de paket kimliğini sınar. Her iki koşumda VALID, OPEN ve değişmeyen hash değerlerinin elde edilmesi, validator'ın gözlem yapmakla kalıp kanonik dosyaları değiştirmediğini gösterir. Bu kontrol, araştırma ekinin sürüm denetimi ve bağımsız inceleme için kararlı kalmasını sağlar.</w:t>
      </w:r>
    </w:p>
    <w:p>
      <w:pPr>
        <w:pStyle w:val="Heading1"/>
        <w:spacing w:before="120" w:after="60"/>
        <w:ind w:firstLine="0"/>
        <w:jc w:val="center"/>
      </w:pPr>
      <w:r>
        <w:rPr>
          <w:rFonts w:ascii="Times New Roman" w:hAnsi="Times New Roman" w:eastAsia="Times New Roman"/>
          <w:b/>
          <w:i w:val="0"/>
          <w:sz w:val="20"/>
          <w:lang w:val="tr-TR" w:eastAsia="tr-TR"/>
        </w:rPr>
        <w:t>VII. DENETİM PROTOKOLÜ VE OPERASYONEL YORUM</w:t>
      </w:r>
    </w:p>
    <w:p>
      <w:pPr>
        <w:pStyle w:val="Heading2"/>
        <w:spacing w:before="120" w:after="60"/>
        <w:ind w:firstLine="0"/>
        <w:jc w:val="left"/>
      </w:pPr>
      <w:r>
        <w:rPr>
          <w:rFonts w:ascii="Times New Roman" w:hAnsi="Times New Roman" w:eastAsia="Times New Roman"/>
          <w:b/>
          <w:i w:val="0"/>
          <w:sz w:val="20"/>
          <w:lang w:val="tr-TR" w:eastAsia="tr-TR"/>
        </w:rPr>
        <w:t>A. Yayın Katmanları ve Denetim Zinciri</w:t>
      </w:r>
    </w:p>
    <w:p>
      <w:pPr>
        <w:pStyle w:val="BodyText"/>
        <w:spacing w:before="0" w:after="40" w:line="240" w:lineRule="auto"/>
        <w:ind w:firstLine="259"/>
      </w:pPr>
      <w:r>
        <w:rPr>
          <w:rFonts w:ascii="Times New Roman" w:hAnsi="Times New Roman" w:eastAsia="Times New Roman"/>
          <w:b w:val="0"/>
          <w:i w:val="0"/>
          <w:sz w:val="16"/>
          <w:lang w:val="tr-TR" w:eastAsia="tr-TR"/>
        </w:rPr>
        <w:t>Denetim protokolü üç kanıt katmanını birbirinden ayırır: beyan edilmiş değerlendirme kapsamı, bu kapsamdan türetilen gözlem tabloları ve yayımlanan skor/graf artefaktları. Birinci katman paydaları; ikinci katman observed, enabled, covered ve uygulama bayraklarını; üçüncü katman skorları, ilişki satırlarını ve bütünlük durumunu taşır. Bağımsız denetçi pay/payda hesaplarını, 171 satırın 165 benzersiz üçlüye indirgenmesini, 171 benzersiz evidence_id değerini, 99/99 uç referansını, altı belgeli izolasyon istisnasını ve 110203 eşleme/bağlam ayrımını yeniden denetleyebilir. SHA-256 kayıtları paket kimliğini sabitler, ancak upstream telemetrinin özgünlüğünü tek başına kanıtlamaz. SACI bu nedenle deterministik paket denetimi ile tam deneysel yeniden üretimi ayrı güvence düzeyleri olarak ele alır.</w:t>
      </w:r>
    </w:p>
    <w:p>
      <w:pPr>
        <w:pStyle w:val="Heading2"/>
        <w:spacing w:before="120" w:after="60"/>
        <w:ind w:firstLine="0"/>
        <w:jc w:val="left"/>
      </w:pPr>
      <w:r>
        <w:rPr>
          <w:rFonts w:ascii="Times New Roman" w:hAnsi="Times New Roman" w:eastAsia="Times New Roman"/>
          <w:b/>
          <w:i w:val="0"/>
          <w:sz w:val="20"/>
          <w:lang w:val="tr-TR" w:eastAsia="tr-TR"/>
        </w:rPr>
        <w:t>B. Skorların Karar Semantiği</w:t>
      </w:r>
    </w:p>
    <w:p>
      <w:pPr>
        <w:pStyle w:val="BodyText"/>
        <w:spacing w:before="0" w:after="40" w:line="240" w:lineRule="auto"/>
        <w:ind w:firstLine="259"/>
      </w:pPr>
      <w:r>
        <w:rPr>
          <w:rFonts w:ascii="Times New Roman" w:hAnsi="Times New Roman" w:eastAsia="Times New Roman"/>
          <w:b w:val="0"/>
          <w:i w:val="0"/>
          <w:sz w:val="16"/>
          <w:lang w:val="tr-TR" w:eastAsia="tr-TR"/>
        </w:rPr>
        <w:t>Her değerlendirme yalnızca birleşik SACI değeriyle değil, beş bileşenli skor vektörü, aktif metrik kümesi, ağırlıklar ve kapsam kimliğiyle birlikte okunmalıdır. Aktif-ağırlık normalizasyonu N/A bir bileşenin yapay olarak sıfır yazılmasını önler; buna karşılık aktif metrik kümesi değişen iki koşum, paydaları farklı olduğundan doğrudan karşılaştırılamaz. Aynı ilke kapsamın, kontrol durumlarının ve teknik listesinin sürümlenmesini gerektirir. Belgelenmiş bir politika uyarınca disabled legacy kontroller CAC paydasından çıkarılabilirken, etkin fakat gözlenmeyen bir kontrol boşluk olarak kalmalıdır. Kritik varlık ağırlıkları da S7A ve S7B arasındaki asimetrinin tasarlanmış nedenidir; bu fark olasılıksal risk tahmini değildir. SACI bu koşullar altında yayın kapısı, kanıt-tamlık denetimi veya sabit kapsamlı zaman serisi göstergesi olarak kullanılabilir. Farklı kapsamlar arasında ürün, ekip ya da kurum sıralaması üretmek ise ek kalibrasyon ve dış doğrulama olmadan metodolojik olarak savunulamaz.</w:t>
      </w:r>
    </w:p>
    <w:p>
      <w:pPr>
        <w:pStyle w:val="Heading2"/>
        <w:spacing w:before="120" w:after="60"/>
        <w:ind w:firstLine="0"/>
        <w:jc w:val="left"/>
      </w:pPr>
      <w:r>
        <w:rPr>
          <w:rFonts w:ascii="Times New Roman" w:hAnsi="Times New Roman" w:eastAsia="Times New Roman"/>
          <w:b/>
          <w:i w:val="0"/>
          <w:sz w:val="20"/>
          <w:lang w:val="tr-TR" w:eastAsia="tr-TR"/>
        </w:rPr>
        <w:t>C. Duyarlılık ve Arıza Semantiği</w:t>
      </w:r>
    </w:p>
    <w:p>
      <w:pPr>
        <w:pStyle w:val="BodyText"/>
        <w:spacing w:before="0" w:after="40" w:line="240" w:lineRule="auto"/>
        <w:ind w:firstLine="259"/>
      </w:pPr>
      <w:r>
        <w:rPr>
          <w:rFonts w:ascii="Times New Roman" w:hAnsi="Times New Roman" w:eastAsia="Times New Roman"/>
          <w:b w:val="0"/>
          <w:i w:val="0"/>
          <w:sz w:val="16"/>
          <w:lang w:val="tr-TR" w:eastAsia="tr-TR"/>
        </w:rPr>
        <w:t>S0-S18 serisindeki 20 senaryo bağımsız istatistiksel gözlemler değil, formüllere uygulanan deterministik bozma ve iyileştirme deneyleridir. Seri; boş başlangıçtan CTI entegrasyonuna ve tam kapanışa yükselişi, kritik ile nonkritik telemetri kaybının farklı etkisini, CTI bayraklarının kaldırılmasını ve tazelik kademesinin gerilemesini sınar. S7A'nın S7B'den daha düşük olması kritik ağırlığın; S12/S13'ün 92.50'de eşitlenmesi aynı CTIC kaybının; S15'in 95.00'e gerilemesi ise TF ağırlığının beklenen yönlü etkisini doğrular. Bu deneyler skorlayıcının girdilere duyarlı olduğunu ve ağırlık sıralamasını uyguladığını gösterir. Bununla birlikte tekrar koşumları, dağılım varsayımları, güven aralıkları veya bağımsız saha örnekleri bulunmadığından nedensel etki büyüklüğü ya da öngörü başarısı çıkarılamaz. İstatistiksel geçerlik için çoklu laboratuvarlarda önceden kaydedilmiş hipotezler, tekrarlı koşumlar ve gerçek olay sonuçlarıyla ayrı bir çalışma gerekir.</w:t>
      </w:r>
    </w:p>
    <w:p>
      <w:pPr>
        <w:pStyle w:val="Heading2"/>
        <w:spacing w:before="120" w:after="60"/>
        <w:ind w:firstLine="0"/>
        <w:jc w:val="left"/>
      </w:pPr>
      <w:r>
        <w:rPr>
          <w:rFonts w:ascii="Times New Roman" w:hAnsi="Times New Roman" w:eastAsia="Times New Roman"/>
          <w:b/>
          <w:i w:val="0"/>
          <w:sz w:val="20"/>
          <w:lang w:val="tr-TR" w:eastAsia="tr-TR"/>
        </w:rPr>
        <w:t>D. Üretimleştirme İlkeleri</w:t>
      </w:r>
    </w:p>
    <w:p>
      <w:pPr>
        <w:pStyle w:val="BodyText"/>
        <w:spacing w:before="0" w:after="40" w:line="240" w:lineRule="auto"/>
        <w:ind w:firstLine="259"/>
      </w:pPr>
      <w:r>
        <w:rPr>
          <w:rFonts w:ascii="Times New Roman" w:hAnsi="Times New Roman" w:eastAsia="Times New Roman"/>
        </w:rPr>
        <w:t>Kanonik sürüm beyan edilmemiş uç, çelişkili doğrudan eşleme, CSV-CYJS uyuşmazlığı, benzersiz evidence_id içermeyen paralel satır ve gerekçesiz izole düğüm durumlarında kapalı başarısız olur. Üretimleştirme; her gözlemi koşum kimliği, gerçek alarm/olay kimliği, kaynak zaman damgası ve dosya özetiyle bağlamayı; şema ve politika sürümlerini sonuçla birlikte sabitlemeyi gerektirir.</w:t>
      </w:r>
    </w:p>
    <w:p>
      <w:pPr>
        <w:pStyle w:val="Heading2"/>
      </w:pPr>
      <w:r>
        <w:t>E. Denetim Varsayımları ve Yanlış Yorum Riskleri</w:t>
      </w:r>
    </w:p>
    <w:p>
      <w:pPr>
        <w:pStyle w:val="BodyText"/>
        <w:spacing w:after="40" w:line="240" w:lineRule="auto"/>
      </w:pPr>
      <w:r>
        <w:rPr>
          <w:rFonts w:ascii="Times New Roman" w:hAnsi="Times New Roman" w:eastAsia="Times New Roman"/>
          <w:sz w:val="16"/>
        </w:rPr>
        <w:t>Bütünlük kapısının VALID sonucu, yayımlanan dosyaların belirtilen şema ve politika altında kendi aralarında tutarlı olduğunu gösterir; upstream logun gerçek bir uçtan geldiğini, zaman damgasının değiştirilmediğini veya senaryo komutunun gerçekten yürütüldüğünü tek başına kanıtlamaz. Bu güvence için imzalı toplama, koşum kimliği, ham log anlık görüntüsü ve bağımsız zaman kaynağı gibi ek mekanizmalar gerekir. Dolayısıyla paket bütünlüğü ile kanıt özgünlüğü ayrı güvence katmanlarıdır.</w:t>
      </w:r>
    </w:p>
    <w:p>
      <w:pPr>
        <w:pStyle w:val="BodyText"/>
        <w:spacing w:after="40" w:line="240" w:lineRule="auto"/>
      </w:pPr>
      <w:r>
        <w:rPr>
          <w:rFonts w:ascii="Times New Roman" w:hAnsi="Times New Roman" w:eastAsia="Times New Roman"/>
          <w:sz w:val="16"/>
        </w:rPr>
        <w:t>Benzer biçimde VALID/OPEN sonucu SACI=100 ile birlikte okunduğunda yalnız tanımlı kapsamın eksiksiz ve tutarlı biçimde temsil edildiğini belirtir. Kapsam dışında bırakılmış varlıklar, henüz tanımlanmamış log kaynakları veya seçilmeyen ATT&amp;CK teknikleri bu sonuca dahil değildir. Kurumsal karşılaştırma yapılacaksa kapsam envanteri, ağırlık politikası, veri tazeliği ve kontrol uygulanabilirliği ortak bir kalibrasyon protokolüne bağlanmalıdır.</w:t>
      </w:r>
    </w:p>
    <w:p>
      <w:pPr>
        <w:pStyle w:val="Heading1"/>
        <w:spacing w:before="120" w:after="60"/>
        <w:ind w:firstLine="0"/>
        <w:jc w:val="center"/>
      </w:pPr>
      <w:r>
        <w:rPr>
          <w:rFonts w:ascii="Times New Roman" w:hAnsi="Times New Roman" w:eastAsia="Times New Roman"/>
          <w:b/>
          <w:i w:val="0"/>
          <w:sz w:val="20"/>
          <w:lang w:val="tr-TR" w:eastAsia="tr-TR"/>
        </w:rPr>
        <w:t>VIII. SONUÇ</w:t>
      </w:r>
    </w:p>
    <w:p>
      <w:pPr>
        <w:pStyle w:val="BodyText"/>
        <w:spacing w:before="0" w:after="40" w:line="240" w:lineRule="auto"/>
        <w:ind w:firstLine="259"/>
      </w:pPr>
      <w:r>
        <w:rPr>
          <w:rFonts w:ascii="Times New Roman" w:hAnsi="Times New Roman" w:eastAsia="Times New Roman"/>
        </w:rPr>
        <w:t>SACI, önceden tanımlanmış bir SIEM-CTI kanıt evreninin açık pay/paydalara, basit toplamsal ağırlıklandırılmış bileşen vektörüne, tiplenmiş köken grafına ve fail-closed yayın kararına dönüştürülebileceğini göstermiştir. Kanonik sonuç 12/12 varlık-log çifti, 25/25 etkin kontrol, 13/13 teknik, 8/8 CTI bayrağı, 99/99 düğüm ve 171/171 ilişkiyle SACI=100, VALID ve OPEN üretmiştir. Ön yayın F-01 vakası artefakt kusurunun skor tamamlığından bağımsız kalabildiğini göstermiş; dokuz kontrollü bütünlük vakasının tamamı beklenen sınıfı üretmiştir. Sentetik doğrulayıcı deneyi ise 99.000 düğüm ve 171.000 satırı medyan 883,438 ms içinde işlemiştir.</w:t>
      </w:r>
    </w:p>
    <w:p>
      <w:pPr>
        <w:pStyle w:val="BodyText"/>
        <w:spacing w:before="0" w:after="40" w:line="240" w:lineRule="auto"/>
        <w:ind w:firstLine="259"/>
      </w:pPr>
      <w:r>
        <w:rPr>
          <w:rFonts w:ascii="Times New Roman" w:hAnsi="Times New Roman" w:eastAsia="Times New Roman"/>
        </w:rPr>
        <w:t>Sonuç, tanımlı laboratuvar kapsamı ve yayımlanan şemayla sınırlıdır. Sonraki sürüm TF değerini beklenen varlık-kaynak çiftleri için ayrı zaman damgası, yaş ve eşik politikasıyla kaynak bazında hesaplamalı; CTIC değerini gerçek request-response, hit/no-hit, API hata, kaynak alarm ve üretilen alarm kimliklerinden türetmelidir. Ayrıca gözlenen fakat beyan edilmemiş varlıklar, beyan edilip hiç gözlenmeyen kaynaklar, envanter kayması ve kontrol yaşam döngüsü durumları ayrı çıktı olarak raporlanmalıdır.</w:t>
      </w:r>
    </w:p>
    <w:p>
      <w:pPr>
        <w:pStyle w:val="BodyText"/>
        <w:spacing w:after="40" w:line="240" w:lineRule="auto"/>
      </w:pPr>
      <w:r>
        <w:rPr>
          <w:rFonts w:ascii="Times New Roman" w:hAnsi="Times New Roman" w:eastAsia="Times New Roman"/>
        </w:rPr>
        <w:t>Çalışmanın temel yöntembilimsel sonucu, sayısal skorun veri yapısı ve yayın sürecinden bağımsız bir güvence olarak ele alınmaması gerektiğidir. SACI bu nedenle bileşen vektörünü, graf kökenini, bütünlük durumunu, yayın kapısını, sürümlü politikayı ve hash kayıtlarını tek denetim zincirinde birleştirir. Katkı yeni bir matematiksel teorem değil, güvenlik kanıt kapsamını ölçülebilir, açıklanabilir ve yapısal olarak doğrulanabilir bir protokol hâline getirmektir.</w:t>
      </w:r>
    </w:p>
    <w:p>
      <w:pPr>
        <w:pStyle w:val="Heading1"/>
        <w:spacing w:before="120" w:after="60"/>
        <w:ind w:firstLine="0"/>
        <w:jc w:val="center"/>
      </w:pPr>
      <w:r>
        <w:rPr>
          <w:rFonts w:ascii="Times New Roman" w:hAnsi="Times New Roman" w:eastAsia="Times New Roman"/>
          <w:b/>
          <w:i w:val="0"/>
          <w:sz w:val="20"/>
          <w:lang w:val="tr-TR" w:eastAsia="tr-TR"/>
        </w:rPr>
        <w:t>IX. VERİ VE ARTEFAKT ERİŞİLEBİLİRLİĞİ</w:t>
      </w:r>
    </w:p>
    <w:p>
      <w:pPr>
        <w:pStyle w:val="BodyText"/>
        <w:spacing w:before="0" w:after="40" w:line="240" w:lineRule="auto"/>
        <w:ind w:firstLine="259"/>
      </w:pPr>
      <w:r>
        <w:rPr>
          <w:rFonts w:ascii="Times New Roman" w:hAnsi="Times New Roman" w:eastAsia="Times New Roman"/>
        </w:rPr>
        <w:t>Kanonik skor, kapsam, reason-code, graf, bütünlük politikası, kusur enjeksiyonu ve sentetik ölçeklenebilirlik çıktıları; SHA256SUMS içeren veri paketi, Vagrant yeniden üretim iskelesi ve etkileşimli araştırma ekiyle birlikte SACI Final Evidence deposunda yayımlanmaktadır [13]. Kanonik veri 99 düğüm/171 ilişki ve VALID/OPEN durumuyla tanımlanır; tarihsel S0-S18 senaryoları ayrı tutulur.</w:t>
      </w:r>
    </w:p>
    <w:p>
      <w:pPr>
        <w:pStyle w:val="Heading1"/>
        <w:spacing w:before="120" w:after="60"/>
        <w:ind w:firstLine="0"/>
        <w:jc w:val="center"/>
      </w:pPr>
      <w:r>
        <w:rPr>
          <w:rFonts w:ascii="Times New Roman" w:hAnsi="Times New Roman" w:eastAsia="Times New Roman"/>
          <w:b/>
          <w:i w:val="0"/>
          <w:sz w:val="20"/>
          <w:lang w:val="tr-TR" w:eastAsia="tr-TR"/>
        </w:rPr>
        <w:t>KAYNAKLAR</w:t>
      </w:r>
    </w:p>
    <w:p>
      <w:pPr>
        <w:pStyle w:val="BodyText"/>
        <w:spacing w:after="40" w:line="240" w:lineRule="auto"/>
        <w:ind w:hanging="259" w:left="259"/>
      </w:pPr>
      <w:r>
        <w:rPr>
          <w:rFonts w:ascii="Times New Roman" w:hAnsi="Times New Roman" w:eastAsia="Times New Roman"/>
          <w:b w:val="0"/>
          <w:i w:val="0"/>
          <w:sz w:val="15"/>
          <w:lang w:val="tr-TR" w:eastAsia="tr-TR"/>
        </w:rPr>
        <w:t>[1] The MITRE Corporation, "Enterprise Matrix," MITRE ATT&amp;CK. Accessed: Jun. 21, 2026. [Online]. Available: https://attack.mitre.org/matrices/enterprise/</w:t>
      </w:r>
    </w:p>
    <w:p>
      <w:pPr>
        <w:pStyle w:val="BodyText"/>
        <w:spacing w:after="40" w:line="240" w:lineRule="auto"/>
        <w:ind w:hanging="259" w:left="259"/>
      </w:pPr>
      <w:r>
        <w:rPr>
          <w:rFonts w:ascii="Times New Roman" w:hAnsi="Times New Roman" w:eastAsia="Times New Roman"/>
          <w:b w:val="0"/>
          <w:i w:val="0"/>
          <w:sz w:val="15"/>
          <w:lang w:val="tr-TR" w:eastAsia="tr-TR"/>
        </w:rPr>
        <w:t>[2] Wazuh, "MITRE ATT&amp;CK framework - Data analysis," Wazuh Documentation. Accessed: Jun. 21, 2026. [Online]. Available: https://documentation.wazuh.com/current/user-manual/ruleset/mitre.html</w:t>
      </w:r>
    </w:p>
    <w:p>
      <w:pPr>
        <w:pStyle w:val="BodyText"/>
        <w:spacing w:after="40" w:line="240" w:lineRule="auto"/>
        <w:ind w:hanging="259" w:left="259"/>
      </w:pPr>
      <w:r>
        <w:rPr>
          <w:rFonts w:ascii="Times New Roman" w:hAnsi="Times New Roman" w:eastAsia="Times New Roman"/>
          <w:b w:val="0"/>
          <w:i w:val="0"/>
          <w:sz w:val="15"/>
          <w:lang w:val="tr-TR" w:eastAsia="tr-TR"/>
        </w:rPr>
        <w:t>[3] OASIS Cyber Threat Intelligence TC, "STIX Version 2.1," OASIS Standard, 2021. [Online]. Available: https://docs.oasis-open.org/cti/stix/v2.1/stix-v2.1.html</w:t>
      </w:r>
    </w:p>
    <w:p>
      <w:pPr>
        <w:pStyle w:val="BodyText"/>
        <w:spacing w:after="40" w:line="240" w:lineRule="auto"/>
        <w:ind w:hanging="259" w:left="259"/>
      </w:pPr>
      <w:r>
        <w:rPr>
          <w:rFonts w:ascii="Times New Roman" w:hAnsi="Times New Roman" w:eastAsia="Times New Roman"/>
          <w:b w:val="0"/>
          <w:i w:val="0"/>
          <w:sz w:val="15"/>
          <w:lang w:val="tr-TR" w:eastAsia="tr-TR"/>
        </w:rPr>
        <w:t>[4] K. Dempsey, N. Chawla, A. Johnson, R. Johnston, A. Jones, A. Orebaugh, M. Scholl, and K. Stine, "Information Security Continuous Monitoring (ISCM) for Federal Information Systems and Organizations," NIST Special Publication 800-137, 2011.</w:t>
      </w:r>
    </w:p>
    <w:p>
      <w:pPr>
        <w:pStyle w:val="BodyText"/>
        <w:spacing w:after="40" w:line="240" w:lineRule="auto"/>
        <w:ind w:hanging="259" w:left="259"/>
      </w:pPr>
      <w:r>
        <w:rPr>
          <w:rFonts w:ascii="Times New Roman" w:hAnsi="Times New Roman" w:eastAsia="Times New Roman"/>
          <w:b w:val="0"/>
          <w:i w:val="0"/>
          <w:sz w:val="15"/>
          <w:lang w:val="tr-TR" w:eastAsia="tr-TR"/>
        </w:rPr>
        <w:t>[5] National Institute of Standards and Technology, "The NIST Cybersecurity Framework (CSF) 2.0," NIST Cybersecurity White Paper, 2024.</w:t>
      </w:r>
    </w:p>
    <w:p>
      <w:pPr>
        <w:pStyle w:val="BodyText"/>
        <w:spacing w:after="40" w:line="240" w:lineRule="auto"/>
        <w:ind w:hanging="259" w:left="259"/>
      </w:pPr>
      <w:r>
        <w:rPr>
          <w:rFonts w:ascii="Times New Roman" w:hAnsi="Times New Roman" w:eastAsia="Times New Roman"/>
          <w:b w:val="0"/>
          <w:i w:val="0"/>
          <w:sz w:val="15"/>
          <w:lang w:val="tr-TR" w:eastAsia="tr-TR"/>
        </w:rPr>
        <w:t>[6] B. Al-Sada, A. Sadighian, and G. Oligeri, "MITRE ATT&amp;CK: State of the Art and Way Forward," arXiv:2308.14016, 2023.</w:t>
      </w:r>
    </w:p>
    <w:p>
      <w:pPr>
        <w:pStyle w:val="BodyText"/>
        <w:spacing w:after="40" w:line="240" w:lineRule="auto"/>
        <w:ind w:hanging="259" w:left="259"/>
      </w:pPr>
      <w:r>
        <w:rPr>
          <w:rFonts w:ascii="Times New Roman" w:hAnsi="Times New Roman" w:eastAsia="Times New Roman"/>
          <w:b w:val="0"/>
          <w:i w:val="0"/>
          <w:sz w:val="15"/>
          <w:lang w:val="tr-TR" w:eastAsia="tr-TR"/>
        </w:rPr>
        <w:t>[7] H. Manocha, A. Srivastava, C. Verma, R. Gupta, and B. Bansal, "Security Assessment Rating Framework for Enterprises using MITRE ATT&amp;CK Matrix," arXiv:2108.06559, 2021.</w:t>
      </w:r>
    </w:p>
    <w:p>
      <w:pPr>
        <w:pStyle w:val="BodyText"/>
        <w:spacing w:after="40" w:line="240" w:lineRule="auto"/>
        <w:ind w:hanging="259" w:left="259"/>
      </w:pPr>
      <w:r>
        <w:rPr>
          <w:rFonts w:ascii="Times New Roman" w:hAnsi="Times New Roman" w:eastAsia="Times New Roman"/>
          <w:b w:val="0"/>
          <w:i w:val="0"/>
          <w:sz w:val="15"/>
          <w:lang w:val="tr-TR" w:eastAsia="tr-TR"/>
        </w:rPr>
        <w:t>[8] K. Liu, F. Wang, Z. Ding, S. Liang, Z. Yu, and Y. Zhou, "A review of knowledge graph application scenarios in cyber security," arXiv:2204.04769, 2022.</w:t>
      </w:r>
    </w:p>
    <w:p>
      <w:pPr>
        <w:pStyle w:val="BodyText"/>
        <w:spacing w:after="40" w:line="240" w:lineRule="auto"/>
        <w:ind w:hanging="259" w:left="259"/>
      </w:pPr>
      <w:r>
        <w:rPr>
          <w:rFonts w:ascii="Times New Roman" w:hAnsi="Times New Roman" w:eastAsia="Times New Roman"/>
          <w:b w:val="0"/>
          <w:i w:val="0"/>
          <w:sz w:val="15"/>
          <w:lang w:val="tr-TR" w:eastAsia="tr-TR"/>
        </w:rPr>
        <w:t>[9] R. Sommer and V. Paxson, "Outside the closed world: On using machine learning for network intrusion detection," in Proc. IEEE Symposium on Security and Privacy, 2010, pp. 305-316.</w:t>
      </w:r>
    </w:p>
    <w:p>
      <w:pPr>
        <w:pStyle w:val="BodyText"/>
        <w:spacing w:after="40" w:line="240" w:lineRule="auto"/>
        <w:ind w:hanging="259" w:left="259"/>
      </w:pPr>
      <w:r>
        <w:rPr>
          <w:rFonts w:ascii="Times New Roman" w:hAnsi="Times New Roman" w:eastAsia="Times New Roman"/>
          <w:b w:val="0"/>
          <w:i w:val="0"/>
          <w:sz w:val="15"/>
          <w:lang w:val="tr-TR" w:eastAsia="tr-TR"/>
        </w:rPr>
        <w:t>[10] V. Mavroeidis and S. Bromander, "Cyber threat intelligence model: An evaluation of taxonomies, sharing standards, and ontologies within cyber threat intelligence," in Proc. 2017 European Intelligence and Security Informatics Conference, 2017, pp. 91-98.</w:t>
      </w:r>
    </w:p>
    <w:p>
      <w:pPr>
        <w:pStyle w:val="BodyText"/>
        <w:spacing w:after="40" w:line="240" w:lineRule="auto"/>
        <w:ind w:hanging="259" w:left="259"/>
      </w:pPr>
      <w:r>
        <w:rPr>
          <w:rFonts w:ascii="Times New Roman" w:hAnsi="Times New Roman" w:eastAsia="Times New Roman"/>
          <w:b w:val="0"/>
          <w:i w:val="0"/>
          <w:sz w:val="15"/>
          <w:lang w:val="tr-TR" w:eastAsia="tr-TR"/>
        </w:rPr>
        <w:t>[11] OASIS Cyber Threat Intelligence TC, "TAXII Version 2.1," OASIS Standard, 2021. [Online]. Available: https://docs.oasis-open.org/cti/taxii/v2.1/taxii-v2.1.html</w:t>
      </w:r>
    </w:p>
    <w:p>
      <w:pPr>
        <w:pStyle w:val="BodyText"/>
        <w:spacing w:after="40" w:line="240" w:lineRule="auto"/>
        <w:ind w:hanging="259" w:left="259"/>
      </w:pPr>
      <w:r>
        <w:rPr>
          <w:rFonts w:ascii="Times New Roman" w:hAnsi="Times New Roman" w:eastAsia="Times New Roman"/>
          <w:b w:val="0"/>
          <w:i w:val="0"/>
          <w:sz w:val="15"/>
          <w:lang w:val="tr-TR" w:eastAsia="tr-TR"/>
        </w:rPr>
        <w:t>[12] M. Ussath, D. Jaeger, F. Cheng, and C. Meinel, "Advanced persistent threats: Behind the scenes," in Proc. 2016 Annual Conference on Information Science and Systems, 2016, pp. 181-186.</w:t>
      </w:r>
    </w:p>
    <w:p>
      <w:pPr>
        <w:pStyle w:val="BodyText"/>
        <w:spacing w:after="40" w:line="240" w:lineRule="auto"/>
        <w:ind w:hanging="259" w:left="259"/>
      </w:pPr>
      <w:r>
        <w:rPr>
          <w:rFonts w:ascii="Times New Roman" w:hAnsi="Times New Roman" w:eastAsia="Times New Roman"/>
          <w:b w:val="0"/>
          <w:i w:val="0"/>
          <w:sz w:val="15"/>
          <w:lang w:val="tr-TR" w:eastAsia="tr-TR"/>
        </w:rPr>
        <w:t>[13] İ. Arslan, "SACI Final Evidence Portal: araştırma artefaktı," 2026. [Çevrimiçi]. Erişim: https://4rslanismet.github.io/saci-final-evidence/ Erişim tarihi: 11 Temmuz 2026.</w:t>
      </w:r>
    </w:p>
    <w:p>
      <w:pPr>
        <w:pStyle w:val="BodyText"/>
        <w:spacing w:after="40" w:line="240" w:lineRule="auto"/>
        <w:ind w:hanging="259" w:left="259"/>
      </w:pPr>
      <w:r>
        <w:rPr>
          <w:rFonts w:ascii="Times New Roman" w:hAnsi="Times New Roman" w:eastAsia="Times New Roman"/>
          <w:b w:val="0"/>
          <w:i w:val="0"/>
          <w:sz w:val="15"/>
          <w:lang w:val="tr-TR" w:eastAsia="tr-TR"/>
        </w:rPr>
        <w:t>[14] Wazuh, "Quickstart," Wazuh Documentation. [Çevrimiçi]. Erişim: https://documentation.wazuh.com/current/quickstart.html Erişim tarihi: 11 Temmuz 2026.</w:t>
      </w:r>
    </w:p>
    <w:p>
      <w:pPr>
        <w:pStyle w:val="BodyText"/>
        <w:spacing w:after="40" w:line="240" w:lineRule="auto"/>
        <w:ind w:hanging="259" w:left="259"/>
      </w:pPr>
      <w:r>
        <w:rPr>
          <w:rFonts w:ascii="Times New Roman" w:hAnsi="Times New Roman" w:eastAsia="Times New Roman"/>
          <w:b w:val="0"/>
          <w:i w:val="0"/>
          <w:sz w:val="15"/>
          <w:lang w:val="tr-TR" w:eastAsia="tr-TR"/>
        </w:rPr>
        <w:t>[15] Wazuh, "Wazuh agent - Installation guide," Wazuh Documentation. [Çevrimiçi]. Erişim: https://documentation.wazuh.com/current/installation-guide/wazuh-agent/index.html Erişim tarihi: 11 Temmuz 2026.</w:t>
      </w:r>
    </w:p>
    <w:p>
      <w:pPr>
        <w:pStyle w:val="BodyText"/>
        <w:spacing w:after="40" w:line="240" w:lineRule="auto"/>
        <w:ind w:hanging="259" w:left="259"/>
      </w:pPr>
      <w:r>
        <w:rPr>
          <w:rFonts w:ascii="Times New Roman" w:hAnsi="Times New Roman" w:eastAsia="Times New Roman"/>
          <w:b w:val="0"/>
          <w:i w:val="0"/>
          <w:sz w:val="15"/>
          <w:lang w:val="tr-TR" w:eastAsia="tr-TR"/>
        </w:rPr>
        <w:t>[16] Wazuh, "Wazuh agent enrollment," Wazuh Documentation. [Çevrimiçi]. Erişim: https://documentation.wazuh.com/current/user-manual/agent/agent-enrollment/index.html Erişim tarihi: 11 Temmuz 2026.</w:t>
      </w:r>
    </w:p>
    <w:p>
      <w:pPr>
        <w:pStyle w:val="BodyText"/>
        <w:spacing w:after="40" w:line="240" w:lineRule="auto"/>
        <w:ind w:hanging="259" w:left="259"/>
      </w:pPr>
      <w:r>
        <w:rPr>
          <w:rFonts w:ascii="Times New Roman" w:hAnsi="Times New Roman" w:eastAsia="Times New Roman"/>
          <w:b w:val="0"/>
          <w:i w:val="0"/>
          <w:sz w:val="15"/>
          <w:lang w:val="tr-TR" w:eastAsia="tr-TR"/>
        </w:rPr>
        <w:t>[17] Wazuh, "Configuring log collection for different operating systems," Wazuh Documentation. [Çevrimiçi]. Erişim: https://documentation.wazuh.com/current/user-manual/capabilities/log-data-collection/configuration.html Erişim tarihi: 11 Temmuz 2026.</w:t>
      </w:r>
    </w:p>
    <w:p>
      <w:pPr>
        <w:pStyle w:val="BodyText"/>
        <w:spacing w:after="40" w:line="240" w:lineRule="auto"/>
        <w:ind w:hanging="259" w:left="259"/>
      </w:pPr>
      <w:r>
        <w:rPr>
          <w:rFonts w:ascii="Times New Roman" w:hAnsi="Times New Roman" w:eastAsia="Times New Roman"/>
          <w:b w:val="0"/>
          <w:i w:val="0"/>
          <w:sz w:val="15"/>
          <w:lang w:val="tr-TR" w:eastAsia="tr-TR"/>
        </w:rPr>
        <w:t>[18] Wazuh, "External API integration," Wazuh Documentation. [Çevrimiçi]. Erişim: https://documentation.wazuh.com/current/user-manual/manager/integration-with-external-apis.html Erişim tarihi: 11 Temmuz 2026.</w:t>
      </w:r>
    </w:p>
    <w:p>
      <w:pPr>
        <w:pStyle w:val="BodyText"/>
        <w:spacing w:after="40" w:line="240" w:lineRule="auto"/>
        <w:ind w:hanging="259" w:left="259"/>
      </w:pPr>
      <w:r>
        <w:rPr>
          <w:rFonts w:ascii="Times New Roman" w:hAnsi="Times New Roman" w:eastAsia="Times New Roman"/>
          <w:b w:val="0"/>
          <w:i w:val="0"/>
          <w:sz w:val="15"/>
          <w:lang w:val="tr-TR" w:eastAsia="tr-TR"/>
        </w:rPr>
        <w:t>[19] MISP Project, "Welcome to the official MISP Install Guides." [Çevrimiçi]. Erişim: https://misp.github.io/MISP/ Erişim tarihi: 11 Temmuz 2026.</w:t>
      </w:r>
    </w:p>
    <w:p>
      <w:pPr>
        <w:pStyle w:val="BodyText"/>
        <w:spacing w:after="40" w:line="240" w:lineRule="auto"/>
        <w:ind w:hanging="259" w:left="259"/>
      </w:pPr>
      <w:r>
        <w:rPr>
          <w:rFonts w:ascii="Times New Roman" w:hAnsi="Times New Roman" w:eastAsia="Times New Roman"/>
          <w:b w:val="0"/>
          <w:i w:val="0"/>
          <w:sz w:val="15"/>
          <w:lang w:val="tr-TR" w:eastAsia="tr-TR"/>
        </w:rPr>
        <w:t>[20] MISP Project, "MISP Documentation and Support." [Çevrimiçi]. Erişim: https://www.misp-project.org/documentation/ Erişim tarihi: 11 Temmuz 2026.</w:t>
      </w:r>
    </w:p>
    <w:p>
      <w:pPr>
        <w:pStyle w:val="BodyText"/>
        <w:spacing w:after="40" w:line="240" w:lineRule="auto"/>
        <w:ind w:hanging="259" w:left="259"/>
      </w:pPr>
      <w:r>
        <w:rPr>
          <w:rFonts w:ascii="Times New Roman" w:hAnsi="Times New Roman" w:eastAsia="Times New Roman"/>
          <w:b w:val="0"/>
          <w:i w:val="0"/>
          <w:sz w:val="15"/>
          <w:lang w:val="tr-TR" w:eastAsia="tr-TR"/>
        </w:rPr>
        <w:t>[21] Netgate, "Remote Logging with Syslog," pfSense Documentation. [Çevrimiçi]. Erişim: https://docs.netgate.com/pfsense/en/latest/monitoring/logs/remote.html Erişim tarihi: 11 Temmuz 2026.</w:t>
      </w:r>
    </w:p>
    <w:p>
      <w:pPr>
        <w:pStyle w:val="BodyText"/>
        <w:spacing w:after="40" w:line="240" w:lineRule="auto"/>
        <w:ind w:hanging="259" w:left="259"/>
      </w:pPr>
      <w:r>
        <w:rPr>
          <w:rFonts w:ascii="Times New Roman" w:hAnsi="Times New Roman" w:eastAsia="Times New Roman"/>
          <w:b w:val="0"/>
          <w:i w:val="0"/>
          <w:sz w:val="15"/>
          <w:lang w:val="tr-TR" w:eastAsia="tr-TR"/>
        </w:rPr>
        <w:t>[22] M. Russinovich ve T. Garnier, "Sysmon v15.21," Microsoft Sysinternals, 17 Haziran 2026. [Çevrimiçi]. Erişim: https://learn.microsoft.com/en-us/sysinternals/downloads/sysmon Erişim tarihi: 11 Temmuz 2026.</w:t>
      </w:r>
    </w:p>
    <w:p>
      <w:pPr>
        <w:pStyle w:val="BodyText"/>
        <w:spacing w:after="40" w:line="240" w:lineRule="auto"/>
        <w:ind w:hanging="259" w:left="259"/>
      </w:pPr>
      <w:r>
        <w:rPr>
          <w:rFonts w:ascii="Times New Roman" w:hAnsi="Times New Roman" w:eastAsia="Times New Roman"/>
          <w:b w:val="0"/>
          <w:i w:val="0"/>
          <w:sz w:val="15"/>
          <w:lang w:val="tr-TR" w:eastAsia="tr-TR"/>
        </w:rPr>
        <w:t>[23] Microsoft, "about_Logging," Microsoft Learn - Windows PowerShell 5.1. [Çevrimiçi]. Erişim: https://learn.microsoft.com/en-us/powershell/module/microsoft.powershell.core/about/about_logging?view=powershell-5.1 Erişim tarihi: 11 Temmuz 2026.</w:t>
      </w:r>
    </w:p>
    <w:p>
      <w:pPr>
        <w:pStyle w:val="BodyText"/>
        <w:spacing w:after="40" w:line="240" w:lineRule="auto"/>
        <w:ind w:hanging="259" w:left="259"/>
      </w:pPr>
      <w:r>
        <w:rPr>
          <w:rFonts w:ascii="Times New Roman" w:hAnsi="Times New Roman" w:eastAsia="Times New Roman"/>
          <w:b w:val="0"/>
          <w:i w:val="0"/>
          <w:sz w:val="15"/>
          <w:lang w:val="tr-TR" w:eastAsia="tr-TR"/>
        </w:rPr>
        <w:t>[24] Ansible Project, "Windows Remote Management," Ansible Core Documentation. [Çevrimiçi]. Erişim: https://docs.ansible.com/projects/ansible-core/2.17/os_guide/windows_winrm.html Erişim tarihi: 11 Temmuz 2026.</w:t>
      </w:r>
    </w:p>
    <w:p>
      <w:pPr>
        <w:pStyle w:val="BodyText"/>
        <w:spacing w:after="40" w:line="240" w:lineRule="auto"/>
        <w:ind w:hanging="259" w:left="259"/>
      </w:pPr>
      <w:r>
        <w:rPr>
          <w:rFonts w:ascii="Times New Roman" w:hAnsi="Times New Roman" w:eastAsia="Times New Roman"/>
          <w:b w:val="0"/>
          <w:i w:val="0"/>
          <w:sz w:val="15"/>
          <w:lang w:val="tr-TR" w:eastAsia="tr-TR"/>
        </w:rPr>
        <w:t>[25] MITRE, "ATT&amp;CK Data &amp; Tools," MITRE ATT&amp;CK. [Çevrimiçi]. Erişim: https://attack.mitre.org/resources/attack-data-and-tools/ Erişim tarihi: 11 Temmuz 2026.</w:t>
      </w:r>
    </w:p>
    <w:p>
      <w:pPr>
        <w:pStyle w:val="BodyText"/>
        <w:spacing w:after="40" w:line="240" w:lineRule="auto"/>
        <w:ind w:hanging="259" w:left="259"/>
      </w:pPr>
      <w:r>
        <w:rPr>
          <w:rFonts w:ascii="Times New Roman" w:hAnsi="Times New Roman" w:eastAsia="Times New Roman"/>
          <w:b w:val="0"/>
          <w:i w:val="0"/>
          <w:sz w:val="15"/>
          <w:lang w:val="tr-TR" w:eastAsia="tr-TR"/>
        </w:rPr>
        <w:t>[26] K. Schroeder, H. Trinh ve V. Pillitteri, "Measurement Guide for Information Security: Volume 1—Identifying and Selecting Measures," NIST SP 800-55 Vol. 1, Aralık 2024, doi: 10.6028/NIST.SP.800-55v1.</w:t>
      </w:r>
    </w:p>
    <w:p>
      <w:pPr>
        <w:pStyle w:val="BodyText"/>
        <w:spacing w:after="40" w:line="240" w:lineRule="auto"/>
        <w:ind w:hanging="259" w:left="259"/>
      </w:pPr>
      <w:r>
        <w:rPr>
          <w:rFonts w:ascii="Times New Roman" w:hAnsi="Times New Roman" w:eastAsia="Times New Roman"/>
          <w:b w:val="0"/>
          <w:i w:val="0"/>
          <w:sz w:val="15"/>
          <w:lang w:val="tr-TR" w:eastAsia="tr-TR"/>
        </w:rPr>
        <w:t>[27] K. Schroeder, H. Trinh ve V. Pillitteri, "Measurement Guide for Information Security: Volume 2—Developing an Information Security Measurement Program," NIST SP 800-55 Vol. 2, Aralık 2024, doi: 10.6028/NIST.SP.800-55v2.</w:t>
      </w:r>
    </w:p>
    <w:p>
      <w:pPr>
        <w:pStyle w:val="BodyText"/>
        <w:spacing w:after="40" w:line="240" w:lineRule="auto"/>
        <w:ind w:hanging="259" w:left="259"/>
      </w:pPr>
      <w:r>
        <w:rPr>
          <w:rFonts w:ascii="Times New Roman" w:hAnsi="Times New Roman" w:eastAsia="Times New Roman"/>
          <w:b w:val="0"/>
          <w:i w:val="0"/>
          <w:sz w:val="15"/>
          <w:lang w:val="tr-TR" w:eastAsia="tr-TR"/>
        </w:rPr>
        <w:t>[28] ISO/IEC, "ISO/IEC 27004:2016—Information technology—Security techniques—Information security management—Monitoring, measurement, analysis and evaluation," 2. baskı, Aralık 2016. [Çevrimiçi]. Erişim: https://www.iso.org/standard/64120.html Erişim tarihi: 12 Temmuz 2026.</w:t>
      </w:r>
    </w:p>
    <w:p>
      <w:pPr>
        <w:pStyle w:val="BodyText"/>
        <w:spacing w:after="40" w:line="240" w:lineRule="auto"/>
        <w:ind w:hanging="259" w:left="259"/>
      </w:pPr>
      <w:r>
        <w:rPr>
          <w:rFonts w:ascii="Times New Roman" w:hAnsi="Times New Roman" w:eastAsia="Times New Roman"/>
          <w:b w:val="0"/>
          <w:i w:val="0"/>
          <w:sz w:val="15"/>
          <w:lang w:val="tr-TR" w:eastAsia="tr-TR"/>
        </w:rPr>
        <w:t>[29] B. Jordan, R. Piazza ve T. Darley, ed., "STIX Version 2.1," OASIS Standard, 10 Haziran 2021. [Çevrimiçi]. Erişim: https://docs.oasis-open.org/cti/stix/v2.1/os/stix-v2.1-os.html Erişim tarihi: 12 Temmuz 2026.</w:t>
      </w:r>
    </w:p>
    <w:p>
      <w:pPr>
        <w:pStyle w:val="BodyText"/>
        <w:spacing w:after="40" w:line="240" w:lineRule="auto"/>
        <w:ind w:hanging="259" w:left="259"/>
      </w:pPr>
      <w:r>
        <w:rPr>
          <w:rFonts w:ascii="Times New Roman" w:hAnsi="Times New Roman" w:eastAsia="Times New Roman"/>
          <w:b w:val="0"/>
          <w:i w:val="0"/>
          <w:sz w:val="15"/>
          <w:lang w:val="tr-TR" w:eastAsia="tr-TR"/>
        </w:rPr>
        <w:t>[30] B. Jordan, R. Piazza ve T. Darley, ed., "TAXII Version 2.1," OASIS Standard, 10 Haziran 2021. [Çevrimiçi]. Erişim: https://docs.oasis-open.org/cti/taxii/v2.1/os/taxii-v2.1-os.html Erişim tarihi: 12 Temmuz 2026.</w:t>
      </w:r>
    </w:p>
    <w:p>
      <w:pPr>
        <w:pStyle w:val="BodyText"/>
        <w:spacing w:after="40" w:line="240" w:lineRule="auto"/>
        <w:ind w:hanging="259" w:left="259"/>
      </w:pPr>
      <w:r>
        <w:rPr>
          <w:rFonts w:ascii="Times New Roman" w:hAnsi="Times New Roman" w:eastAsia="Times New Roman"/>
          <w:b w:val="0"/>
          <w:i w:val="0"/>
          <w:sz w:val="15"/>
          <w:lang w:val="tr-TR" w:eastAsia="tr-TR"/>
        </w:rPr>
        <w:t>[31] M. Franz, C. T. Lopes, G. Huck, Y. Dong, O. Sumer ve G. D. Bader, "Cytoscape.js: a graph theory library for visualisation and analysis," Bioinformatics, c. 32, no. 2, ss. 309–311, 2016, doi: 10.1093/bioinformatics/btv557.</w:t>
      </w:r>
    </w:p>
    <w:p>
      <w:pPr>
        <w:pStyle w:val="BodyText"/>
        <w:spacing w:after="40" w:line="240" w:lineRule="auto"/>
        <w:ind w:hanging="259" w:left="259"/>
      </w:pPr>
      <w:r>
        <w:rPr>
          <w:rFonts w:ascii="Times New Roman" w:hAnsi="Times New Roman" w:eastAsia="Times New Roman"/>
          <w:b w:val="0"/>
          <w:i w:val="0"/>
          <w:sz w:val="15"/>
          <w:lang w:val="tr-TR" w:eastAsia="tr-TR"/>
        </w:rPr>
        <w:t>[32] Mermaid, "About Mermaid," 2026. [Çevrimiçi]. https://mermaid.js.org/intro/</w:t>
      </w:r>
    </w:p>
    <w:p>
      <w:pPr>
        <w:pStyle w:val="BodyText"/>
        <w:spacing w:after="40" w:line="240" w:lineRule="auto"/>
        <w:ind w:hanging="259" w:left="259"/>
      </w:pPr>
      <w:r>
        <w:rPr>
          <w:rFonts w:ascii="Times New Roman" w:hAnsi="Times New Roman" w:eastAsia="Times New Roman"/>
          <w:sz w:val="15"/>
        </w:rPr>
        <w:t>[33] K. Dempsey, E. Chew, M. Johnson, A. Johnston, A. C. Jones, A. Orebaugh, M. Scholl ve K. Stine, "Assessing Information Security Continuous Monitoring (ISCM) Programs: Developing an ISCM Program Assessment," NIST SP 800-137A, Mayıs 2020. doi: 10.6028/NIST.SP.800-137A.</w:t>
      </w:r>
    </w:p>
    <w:p>
      <w:pPr>
        <w:pStyle w:val="BodyText"/>
        <w:spacing w:after="40" w:line="240" w:lineRule="auto"/>
        <w:ind w:hanging="259" w:left="259"/>
      </w:pPr>
      <w:r>
        <w:rPr>
          <w:rFonts w:ascii="Times New Roman" w:hAnsi="Times New Roman" w:eastAsia="Times New Roman"/>
          <w:sz w:val="15"/>
        </w:rPr>
        <w:t>[34] E. Triantaphyllou, Multi-Criteria Decision Making Methods: A Comparative Study. Dordrecht, Netherlands: Kluwer Academic Publishers, 2000. doi: 10.1007/978-1-4757-3157-6.</w:t>
      </w:r>
    </w:p>
    <w:p>
      <w:pPr>
        <w:pStyle w:val="BodyText"/>
        <w:spacing w:after="40" w:line="240" w:lineRule="auto"/>
        <w:ind w:hanging="259" w:left="259"/>
      </w:pPr>
      <w:r>
        <w:rPr>
          <w:rFonts w:ascii="Times New Roman" w:hAnsi="Times New Roman" w:eastAsia="Times New Roman"/>
          <w:sz w:val="15"/>
        </w:rPr>
        <w:t>[35] W3C, "PROV-O: The PROV Ontology," W3C Recommendation, 30 Nisan 2013. [Çevrimiçi]. Erişim: https://www.w3.org/TR/prov-o/ Erişim tarihi: 12 Temmuz 2026.</w:t>
      </w:r>
    </w:p>
    <w:p>
      <w:pPr>
        <w:pStyle w:val="BodyText"/>
        <w:spacing w:after="40" w:line="240" w:lineRule="auto"/>
        <w:ind w:hanging="259" w:left="259"/>
      </w:pPr>
      <w:r>
        <w:rPr>
          <w:rFonts w:ascii="Times New Roman" w:hAnsi="Times New Roman" w:eastAsia="Times New Roman"/>
          <w:sz w:val="15"/>
        </w:rPr>
        <w:t>[36] W3C, "Shapes Constraint Language (SHACL)," W3C Recommendation, 20 Temmuz 2017. [Çevrimiçi]. Erişim: https://www.w3.org/TR/shacl/ Erişim tarihi: 12 Temmuz 2026.</w:t>
      </w:r>
    </w:p>
    <w:p>
      <w:pPr>
        <w:pStyle w:val="BodyText"/>
        <w:spacing w:after="40" w:line="240" w:lineRule="auto"/>
        <w:ind w:hanging="259" w:left="259"/>
      </w:pPr>
      <w:r>
        <w:rPr>
          <w:rFonts w:ascii="Times New Roman" w:hAnsi="Times New Roman" w:eastAsia="Times New Roman"/>
          <w:sz w:val="15"/>
        </w:rPr>
        <w:t>[37] Wazuh, "Components—Getting started with Wazuh," Wazuh Documentation. [Çevrimiçi]. Erişim: https://documentation.wazuh.com/current/getting-started/components/index.html Erişim tarihi: 12 Temmuz 2026.</w:t>
      </w:r>
    </w:p>
    <w:p>
      <w:pPr>
        <w:pStyle w:val="BodyText"/>
        <w:spacing w:after="40" w:line="240" w:lineRule="auto"/>
        <w:ind w:hanging="259" w:left="259"/>
      </w:pPr>
      <w:r>
        <w:rPr>
          <w:rFonts w:ascii="Times New Roman" w:hAnsi="Times New Roman" w:eastAsia="Times New Roman"/>
          <w:sz w:val="15"/>
        </w:rPr>
        <w:t>[38] Wazuh, "How it works—Log data collection," Wazuh Documentation. [Çevrimiçi]. Erişim: https://documentation.wazuh.com/current/user-manual/capabilities/log-data-collection/how-it-works.html Erişim tarihi: 12 Temmuz 2026.</w:t>
      </w:r>
    </w:p>
    <w:p>
      <w:pPr>
        <w:pStyle w:val="BodyText"/>
        <w:spacing w:after="40" w:line="240" w:lineRule="auto"/>
        <w:ind w:hanging="259" w:left="259"/>
      </w:pPr>
      <w:r>
        <w:rPr>
          <w:rFonts w:ascii="Times New Roman" w:hAnsi="Times New Roman" w:eastAsia="Times New Roman"/>
          <w:sz w:val="15"/>
        </w:rPr>
        <w:t>[39] Wazuh, "Alert management—Wazuh server," Wazuh Documentation. [Çevrimiçi]. Erişim: https://documentation.wazuh.com/current/user-manual/manager/alert-management.html Erişim tarihi: 12 Temmuz 2026.</w:t>
      </w:r>
    </w:p>
    <w:p>
      <w:pPr>
        <w:pStyle w:val="BodyText"/>
        <w:spacing w:after="40" w:line="240" w:lineRule="auto"/>
        <w:ind w:hanging="259" w:left="259"/>
      </w:pPr>
      <w:r>
        <w:rPr>
          <w:rFonts w:ascii="Times New Roman" w:hAnsi="Times New Roman" w:eastAsia="Times New Roman"/>
          <w:sz w:val="15"/>
        </w:rPr>
        <w:t>[40] Microsoft, "Sysmon Overview," Microsoft Learn, 24 Şubat 2026. [Çevrimiçi]. Erişim: https://learn.microsoft.com/en-us/windows/security/operating-system-security/sysmon/overview Erişim tarihi: 12 Temmuz 2026.</w:t>
      </w:r>
    </w:p>
    <w:p>
      <w:pPr>
        <w:pStyle w:val="BodyText"/>
        <w:spacing w:after="40" w:line="240" w:lineRule="auto"/>
        <w:ind w:hanging="259" w:left="259"/>
      </w:pPr>
      <w:r>
        <w:rPr>
          <w:rFonts w:ascii="Times New Roman" w:hAnsi="Times New Roman" w:eastAsia="Times New Roman"/>
          <w:sz w:val="15"/>
        </w:rPr>
        <w:t>[41] Microsoft, "Understanding Sysmon events," Microsoft Learn, 23 Şubat 2026. [Çevrimiçi]. Erişim: https://learn.microsoft.com/en-us/windows/security/operating-system-security/sysmon/sysmon-events Erişim tarihi: 12 Temmuz 2026.</w:t>
      </w:r>
    </w:p>
    <w:p>
      <w:pPr>
        <w:pStyle w:val="BodyText"/>
        <w:spacing w:after="40" w:line="240" w:lineRule="auto"/>
        <w:ind w:hanging="259" w:left="259"/>
      </w:pPr>
      <w:r>
        <w:rPr>
          <w:rFonts w:ascii="Times New Roman" w:hAnsi="Times New Roman" w:eastAsia="Times New Roman"/>
          <w:sz w:val="15"/>
        </w:rPr>
        <w:t>[42] Microsoft, "PowerShell security features," Microsoft Learn, 27 Mayıs 2026. [Çevrimiçi]. Erişim: https://learn.microsoft.com/en-us/powershell/scripting/security/security-features Erişim tarihi: 12 Temmuz 2026.</w:t>
      </w:r>
    </w:p>
    <w:p>
      <w:pPr>
        <w:pStyle w:val="BodyText"/>
        <w:spacing w:after="40" w:line="240" w:lineRule="auto"/>
        <w:ind w:hanging="259" w:left="259"/>
      </w:pPr>
      <w:r>
        <w:rPr>
          <w:rFonts w:ascii="Times New Roman" w:hAnsi="Times New Roman" w:eastAsia="Times New Roman"/>
          <w:sz w:val="15"/>
        </w:rPr>
        <w:t>[43] Microsoft, "Advanced Audit Policy Configuration settings," Microsoft Learn, 29 Mayıs 2025. [Çevrimiçi]. Erişim: https://learn.microsoft.com/en-us/windows-server/identity/ad-ds/plan/security-best-practices/advanced-audit-policy-configuration Erişim tarihi: 12 Temmuz 2026.</w:t>
      </w:r>
    </w:p>
    <w:p>
      <w:pPr>
        <w:pStyle w:val="BodyText"/>
        <w:spacing w:after="40" w:line="240" w:lineRule="auto"/>
        <w:ind w:hanging="259" w:left="259"/>
      </w:pPr>
      <w:r>
        <w:rPr>
          <w:rFonts w:ascii="Times New Roman" w:hAnsi="Times New Roman" w:eastAsia="Times New Roman"/>
          <w:sz w:val="15"/>
        </w:rPr>
        <w:t>[44] Netgate, "Raw Filter Log Format," pfSense Documentation, 27 Ağustos 2025. [Çevrimiçi]. Erişim: https://docs.netgate.com/pfsense/en/latest/monitoring/logs/raw-filter-format.html Erişim tarihi: 12 Temmuz 2026.</w:t>
      </w:r>
    </w:p>
    <w:p>
      <w:pPr>
        <w:pStyle w:val="BodyText"/>
        <w:spacing w:after="40" w:line="240" w:lineRule="auto"/>
        <w:ind w:hanging="259" w:left="259"/>
      </w:pPr>
      <w:r>
        <w:rPr>
          <w:rFonts w:ascii="Times New Roman" w:hAnsi="Times New Roman" w:eastAsia="Times New Roman"/>
        </w:rPr>
        <w:br w:type="column"/>
      </w:r>
      <w:r>
        <w:rPr>
          <w:rFonts w:ascii="Times New Roman" w:hAnsi="Times New Roman" w:eastAsia="Times New Roman"/>
          <w:sz w:val="15"/>
        </w:rPr>
        <w:t>[45] Ansible Project, "ansible.windows.win_shell module—Execute shell commands on target hosts," Ansible Documentation. [Çevrimiçi]. Erişim: https://docs.ansible.com/projects/ansible/latest/collections/ansible/windows/win_shell_module.html Erişim tarihi: 12 Temmuz 2026.</w:t>
      </w:r>
    </w:p>
    <w:p>
      <w:pPr>
        <w:pStyle w:val="BodyText"/>
        <w:spacing w:after="40" w:line="240" w:lineRule="auto"/>
        <w:ind w:hanging="259" w:left="259"/>
      </w:pPr>
      <w:r>
        <w:rPr>
          <w:rFonts w:ascii="Times New Roman" w:hAnsi="Times New Roman" w:eastAsia="Times New Roman"/>
          <w:sz w:val="15"/>
        </w:rPr>
        <w:t>[46] HashiCorp, "Networking—Vagrant Documentation." [Çevrimiçi]. Erişim: https://developer.hashicorp.com/vagrant/docs/networking Erişim tarihi: 12 Temmuz 2026.</w:t>
      </w:r>
    </w:p>
    <w:p>
      <w:pPr>
        <w:pStyle w:val="BodyText"/>
        <w:spacing w:after="40" w:line="240" w:lineRule="auto"/>
        <w:ind w:hanging="259" w:left="259"/>
      </w:pPr>
      <w:r>
        <w:rPr>
          <w:rFonts w:ascii="Times New Roman" w:hAnsi="Times New Roman" w:eastAsia="Times New Roman"/>
          <w:sz w:val="15"/>
        </w:rPr>
        <w:t>[47] HashiCorp, "Provisioning—Vagrant Documentation." [Çevrimiçi]. Erişim: https://developer.hashicorp.com/vagrant/docs/provisioning Erişim tarihi: 12 Temmuz 2026.</w:t>
      </w:r>
    </w:p>
    <w:p>
      <w:pPr>
        <w:pStyle w:val="BodyText"/>
        <w:spacing w:after="40" w:line="240" w:lineRule="auto"/>
        <w:ind w:hanging="259" w:left="259"/>
      </w:pPr>
      <w:r>
        <w:rPr>
          <w:rFonts w:ascii="Times New Roman" w:hAnsi="Times New Roman" w:eastAsia="Times New Roman"/>
          <w:sz w:val="15"/>
        </w:rPr>
        <w:t>[48] HashiCorp, "Multi-Machine—Vagrant Documentation." [Çevrimiçi]. Erişim: https://developer.hashicorp.com/vagrant/docs/multi-machine Erişim tarihi: 12 Temmuz 2026.</w:t>
      </w:r>
    </w:p>
    <w:p>
      <w:pPr>
        <w:pStyle w:val="BodyText"/>
        <w:spacing w:after="40" w:line="240" w:lineRule="auto"/>
        <w:ind w:hanging="259" w:left="259"/>
      </w:pPr>
      <w:r>
        <w:rPr>
          <w:rFonts w:ascii="Times New Roman" w:hAnsi="Times New Roman" w:eastAsia="Times New Roman"/>
          <w:sz w:val="15"/>
        </w:rPr>
        <w:t>[49] HashiCorp, "Providers—Vagrant Documentation." [Çevrimiçi]. Erişim: https://developer.hashicorp.com/vagrant/docs/providers Erişim tarihi: 12 Temmuz 2026.</w:t>
      </w:r>
    </w:p>
    <w:p>
      <w:pPr>
        <w:pStyle w:val="BodyText"/>
        <w:spacing w:after="40" w:line="240" w:lineRule="auto"/>
        <w:ind w:hanging="259" w:left="259"/>
      </w:pPr>
      <w:r>
        <w:rPr>
          <w:rFonts w:ascii="Times New Roman" w:hAnsi="Times New Roman" w:eastAsia="Times New Roman"/>
          <w:sz w:val="15"/>
        </w:rPr>
        <w:t>[50] GitHub, "What is GitHub Pages?" GitHub Docs. [Çevrimiçi]. Erişim: https://docs.github.com/en/pages/getting-started-with-github-pages/what-is-github-pages Erişim tarihi: 12 Temmuz 2026.</w:t>
      </w:r>
    </w:p>
    <w:p>
      <w:pPr>
        <w:pStyle w:val="BodyText"/>
        <w:spacing w:after="40" w:line="240" w:lineRule="auto"/>
        <w:ind w:hanging="259" w:left="259"/>
      </w:pPr>
      <w:r>
        <w:rPr>
          <w:rFonts w:ascii="Times New Roman" w:hAnsi="Times New Roman" w:eastAsia="Times New Roman"/>
          <w:sz w:val="15"/>
        </w:rPr>
        <w:t>[51] GitHub, "Configuring a publishing source for your GitHub Pages site," GitHub Docs. [Çevrimiçi]. Erişim: https://docs.github.com/en/pages/getting-started-with-github-pages/configuring-a-publishing-source-for-your-github-pages-site Erişim tarihi: 12 Temmuz 2026.</w:t>
      </w:r>
    </w:p>
    <w:p>
      <w:pPr>
        <w:pStyle w:val="BodyText"/>
        <w:spacing w:after="40" w:line="240" w:lineRule="auto"/>
        <w:ind w:hanging="259" w:left="259"/>
      </w:pPr>
      <w:r>
        <w:rPr>
          <w:rFonts w:ascii="Times New Roman" w:hAnsi="Times New Roman" w:eastAsia="Times New Roman"/>
          <w:sz w:val="15"/>
        </w:rPr>
        <w:t>[52] National Institute of Standards and Technology, "Secure Hash Standard (SHS)," FIPS PUB 180-4, Ağustos 2015. doi: 10.6028/NIST.FIPS.180-4.</w:t>
      </w:r>
    </w:p>
    <w:p>
      <w:pPr>
        <w:pStyle w:val="BodyText"/>
        <w:spacing w:after="40" w:line="240" w:lineRule="auto"/>
        <w:ind w:hanging="259" w:left="259"/>
      </w:pPr>
      <w:r>
        <w:rPr>
          <w:rFonts w:ascii="Times New Roman" w:hAnsi="Times New Roman" w:eastAsia="Times New Roman"/>
          <w:sz w:val="15"/>
        </w:rPr>
        <w:t>[53] Python Software Foundation, "The Python Standard Library," Python 3 Documentation. [Çevrimiçi]. Erişim: https://docs.python.org/3/library/ Erişim tarihi: 12 Temmuz 2026.</w:t>
      </w:r>
    </w:p>
    <w:p>
      <w:pPr>
        <w:pStyle w:val="BodyText"/>
        <w:spacing w:after="40" w:line="240" w:lineRule="auto"/>
        <w:ind w:hanging="259" w:left="259"/>
      </w:pPr>
      <w:r>
        <w:rPr>
          <w:rFonts w:ascii="Times New Roman" w:hAnsi="Times New Roman" w:eastAsia="Times New Roman"/>
          <w:sz w:val="15"/>
        </w:rPr>
        <w:t>[54] Python Software Foundation, "Requests: HTTP for Humans—Documentation." [Çevrimiçi]. Erişim: https://requests.readthedocs.io/ Erişim tarihi: 12 Temmuz 2026.</w:t>
      </w:r>
    </w:p>
    <w:p>
      <w:pPr>
        <w:pStyle w:val="BodyText"/>
        <w:spacing w:after="40" w:line="240" w:lineRule="auto"/>
        <w:ind w:hanging="259" w:left="259"/>
      </w:pPr>
      <w:r>
        <w:rPr>
          <w:rFonts w:ascii="Times New Roman" w:hAnsi="Times New Roman" w:eastAsia="Times New Roman"/>
          <w:sz w:val="15"/>
        </w:rPr>
        <w:t>[55] Wazuh, "Wazuh indexer—Installation guide," Wazuh Documentation. [Çevrimiçi]. Erişim: https://documentation.wazuh.com/current/installation-guide/wazuh-indexer/index.html Erişim tarihi: 12 Temmuz 2026.</w:t>
      </w:r>
    </w:p>
    <w:p>
      <w:pPr>
        <w:pStyle w:val="BodyText"/>
        <w:spacing w:after="40" w:line="240" w:lineRule="auto"/>
        <w:ind w:hanging="259" w:left="259"/>
      </w:pPr>
      <w:r>
        <w:rPr>
          <w:rFonts w:ascii="Times New Roman" w:hAnsi="Times New Roman" w:eastAsia="Times New Roman"/>
          <w:sz w:val="15"/>
        </w:rPr>
        <w:t>[56] Wazuh, "Wazuh dashboard—Installation guide," Wazuh Documentation. [Çevrimiçi]. Erişim: https://documentation.wazuh.com/current/installation-guide/wazuh-dashboard/index.html Erişim tarihi: 12 Temmuz 2026.</w:t>
      </w:r>
    </w:p>
    <w:p>
      <w:pPr>
        <w:pStyle w:val="BodyText"/>
        <w:spacing w:after="40" w:line="240" w:lineRule="auto"/>
        <w:ind w:hanging="259" w:left="259"/>
      </w:pPr>
      <w:r>
        <w:rPr>
          <w:rFonts w:ascii="Times New Roman" w:hAnsi="Times New Roman" w:eastAsia="Times New Roman"/>
          <w:sz w:val="15"/>
        </w:rPr>
        <w:t>[57] Wazuh, "Configuring syslog on the Wazuh server," Wazuh Documentation. [Çevrimiçi]. Erişim: https://documentation.wazuh.com/current/user-manual/capabilities/log-data-collection/syslog.html Erişim tarihi: 12 Temmuz 2026.</w:t>
      </w:r>
    </w:p>
    <w:p>
      <w:pPr>
        <w:pStyle w:val="BodyText"/>
        <w:spacing w:after="40" w:line="240" w:lineRule="auto"/>
        <w:ind w:hanging="259" w:left="259"/>
      </w:pPr>
      <w:r>
        <w:rPr>
          <w:rFonts w:ascii="Times New Roman" w:hAnsi="Times New Roman" w:eastAsia="Times New Roman"/>
          <w:sz w:val="15"/>
        </w:rPr>
        <w:t>[58] Microsoft, "System Audit Policy recommendations," Microsoft Learn, 13 Haziran 2025. [Çevrimiçi]. Erişim: https://learn.microsoft.com/en-us/windows-server/identity/ad-ds/plan/security-best-practices/audit-policy-recommendations Erişim tarihi: 12 Temmuz 2026.</w:t>
      </w:r>
    </w:p>
    <w:sectPr w:rsidR="00FC693F" w:rsidRPr="0006063C" w:rsidSect="00034616">
      <w:type w:val="continuous"/>
      <w:pgSz w:w="11906" w:h="16838"/>
      <w:pgMar w:top="1077" w:right="935" w:bottom="1440" w:left="935"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60" w:line="240" w:lineRule="auto"/>
    </w:pPr>
    <w:rPr>
      <w:rFonts w:ascii="Times New Roman" w:hAnsi="Times New Roman" w:eastAsia="Times New Roman"/>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spacing w:after="60" w:line="240" w:lineRule="auto"/>
    </w:pPr>
    <w:rPr>
      <w:rFonts w:ascii="Times New Roman" w:hAnsi="Times New Roman" w:eastAsia="Times New Roman"/>
      <w:sz w:val="20"/>
    </w:rPr>
  </w:style>
  <w:style w:type="paragraph" w:customStyle="1" w:styleId="Keywords">
    <w:name w:val="Keywords"/>
    <w:pPr>
      <w:spacing w:after="60" w:line="240" w:lineRule="auto"/>
    </w:pPr>
    <w:rPr>
      <w:rFonts w:ascii="Times New Roman" w:hAnsi="Times New Roman" w:eastAsia="Times New Roman"/>
      <w:sz w:val="20"/>
    </w:rPr>
  </w:style>
  <w:style w:type="paragraph" w:customStyle="1" w:styleId="papertitle">
    <w:name w:val="paper title"/>
    <w:pPr>
      <w:jc w:val="center"/>
    </w:pPr>
    <w:rPr>
      <w:rFonts w:ascii="Times New Roman" w:hAnsi="Times New Roman" w:eastAsia="Times New Roman"/>
      <w:sz w:val="48"/>
    </w:rPr>
  </w:style>
  <w:style w:type="paragraph" w:customStyle="1" w:styleId="Author">
    <w:name w:val="Author"/>
    <w:pPr>
      <w:jc w:val="center"/>
    </w:pPr>
    <w:rPr>
      <w:rFonts w:ascii="Times New Roman" w:hAnsi="Times New Roman" w:eastAsia="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SACI - Türkçe Hakem Güçlendirilmiş IDAP26 Makalesi</dc:title>
  <dc:subject>SIEM-CTI kanıt kapsamı, bütünlük kapısı ve ölçeklenebilirlik</dc:subject>
  <dc:creator>Ismet Arslan</dc:creator>
  <cp:keywords>SACI, SIEM, Wazuh, MITRE ATT&amp;CK, CTI, integrity gate</cp:keywords>
  <dc:description>Final IDAP'26 manuscript synchronized with the SACI evidence package.</dc:description>
  <cp:lastModifiedBy>Ismet Arslan</cp:lastModifiedBy>
  <cp:revision>1</cp:revision>
  <dcterms:created xsi:type="dcterms:W3CDTF">2013-12-23T23:15:00Z</dcterms:created>
  <dcterms:modified xsi:type="dcterms:W3CDTF">2026-07-12T00:36:36Z</dcterms:modified>
  <cp:category/>
  <dc:language>tr-TR</dc:language>
</cp:coreProperties>
</file>