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jc w:val="center"/>
      </w:pPr>
      <w:r>
        <w:rPr>
          <w:rFonts w:ascii="Times New Roman" w:hAnsi="Times New Roman" w:eastAsia="Times New Roman"/>
          <w:b w:val="0"/>
          <w:i w:val="0"/>
          <w:sz w:val="48"/>
          <w:lang w:val="tr-TR" w:eastAsia="tr-TR"/>
        </w:rPr>
        <w:t>SACI: SIEM Telemetrisi ve Tehdit İstihbaratıyla Açıklanabilir Graf Tabanlı Saldırı Yüzeyi Görünürlük Skorlaması</w:t>
      </w:r>
    </w:p>
    <w:p>
      <w:pPr>
        <w:pStyle w:val="Author"/>
        <w:jc w:val="center"/>
      </w:pPr>
      <w:r>
        <w:rPr>
          <w:rFonts w:ascii="Times New Roman" w:hAnsi="Times New Roman" w:eastAsia="Times New Roman"/>
          <w:b w:val="0"/>
          <w:i w:val="0"/>
          <w:sz w:val="20"/>
          <w:lang w:val="tr-TR" w:eastAsia="tr-TR"/>
        </w:rPr>
        <w:t>İsmet Arslan</w:t>
      </w:r>
    </w:p>
    <w:p>
      <w:pPr>
        <w:sectPr>
          <w:headerReference w:type="default" r:id="rId10"/>
          <w:footerReference w:type="default" r:id="rId11"/>
          <w:pgSz w:w="11906" w:h="16838"/>
          <w:pgMar w:top="1077" w:right="935" w:bottom="1440" w:left="935" w:header="720" w:footer="720" w:gutter="0"/>
          <w:cols w:space="720"/>
          <w:docGrid w:linePitch="360"/>
        </w:sectPr>
      </w:pPr>
    </w:p>
    <w:p>
      <w:pPr>
        <w:pStyle w:val="BodyText"/>
        <w:spacing w:after="80"/>
        <w:ind w:firstLine="0"/>
      </w:pPr>
      <w:r>
        <w:rPr>
          <w:rFonts w:ascii="Times New Roman" w:hAnsi="Times New Roman" w:eastAsia="Times New Roman"/>
          <w:b w:val="1"/>
          <w:i w:val="0"/>
          <w:sz w:val="18"/>
          <w:lang w:val="tr-TR" w:eastAsia="tr-TR"/>
        </w:rPr>
        <w:t>Özet—</w:t>
      </w:r>
      <w:r>
        <w:rPr>
          <w:rFonts w:ascii="Times New Roman" w:hAnsi="Times New Roman" w:eastAsia="Times New Roman"/>
          <w:i w:val="0"/>
          <w:sz w:val="18"/>
          <w:lang w:val="tr-TR" w:eastAsia="tr-TR"/>
        </w:rPr>
        <w:t>Bu çalışma, güvenlik bilgi ve olay yönetimi görünürlüğünü; varlıklar, log kaynakları, tespit kontrolleri, Wazuh kuralları, MITRE ATT&amp;CK teknikleri ve siber tehdit istihbaratı nesneleri arasındaki kapsamla sınırlandırılmış kanıt ilişkileri üzerinden ölçen SACI çerçevesini sunmaktadır. Yöntem, kritik varlık ağırlıklı log kapsamı (CWLC), kontrol/alarm kapsamı (CAC), kapsam içi ATT&amp;CK teknik kapsamı (MDC), CTI bayrak kapanışı (CTIC) ve telemetri tazeliğini (TF) aktif metrik ağırlık normalizasyonuyla birleşik bir görünürlük skoruna dönüştürmektedir. Altı varlıklı kontrollü Wazuh-MISP laboratuvarının nihai yayın anlık görüntüsünde 12/12 beklenen varlık-log kaynağı çifti, 25/25 etkin kontrol, 13/13 kapsam içi teknik ve iki IOC kaydı için 8/8 CTI bayrağı kapanmış; beş bileşen ile birleşik SACI skoru 100 olarak hesaplanmıştır. Yayımlanan graf 97 beyan edilmiş düğüm ve observed=1 durumundaki 171 kenar satırı içermektedir; bütünlük denetimi ayrıca 165 benzersiz ilişki üçlüsü, iki beyan edilmemiş uç ve altı izole düğüm belirlemiştir. Ayrı tutulan 20 senaryolu tarihsel seri, bileşen kayıpları ve iyileştirmeler karşısında beklenen yönlü skor değişimlerini göstermiştir. Laboratuvar topolojisi ve veri yolları yayımlanan kanıtlarla doğrulanabilmekle birlikte kesin yazılım sürümleri ve tam ortam kurulum otomasyonu korunmamıştır. Sonuçlar güvenlik garantisi değil, tanımlı laboratuvar kapsamındaki kanıt kapanışı olarak yorumlanmalıdır.</w:t>
      </w:r>
    </w:p>
    <w:p>
      <w:pPr>
        <w:pStyle w:val="BodyText"/>
        <w:spacing w:after="80"/>
        <w:ind w:firstLine="0"/>
      </w:pPr>
      <w:r>
        <w:rPr>
          <w:rFonts w:ascii="Times New Roman" w:hAnsi="Times New Roman" w:eastAsia="Times New Roman"/>
          <w:b w:val="1"/>
          <w:i w:val="0"/>
          <w:sz w:val="18"/>
          <w:lang w:val="tr-TR" w:eastAsia="tr-TR"/>
        </w:rPr>
        <w:t>Anahtar Kelimeler—</w:t>
      </w:r>
      <w:r>
        <w:rPr>
          <w:rFonts w:ascii="Times New Roman" w:hAnsi="Times New Roman" w:eastAsia="Times New Roman"/>
          <w:i w:val="0"/>
          <w:sz w:val="18"/>
          <w:lang w:val="tr-TR" w:eastAsia="tr-TR"/>
        </w:rPr>
        <w:t>SACI, SIEM, Wazuh, kanıt grafı, MITRE ATT&amp;CK, siber tehdit istihbaratı, görünürlük skoru, denetlenebilirlik</w:t>
      </w:r>
    </w:p>
    <w:p>
      <w:pPr>
        <w:pStyle w:val="Heading1"/>
        <w:spacing w:before="120" w:after="60"/>
        <w:ind w:firstLine="0"/>
        <w:jc w:val="center"/>
      </w:pPr>
      <w:r>
        <w:rPr>
          <w:rFonts w:ascii="Times New Roman" w:hAnsi="Times New Roman" w:eastAsia="Times New Roman"/>
          <w:b/>
          <w:i w:val="0"/>
          <w:sz w:val="20"/>
          <w:lang w:val="tr-TR" w:eastAsia="tr-TR"/>
        </w:rPr>
        <w:t>I. GİRİŞ</w:t>
      </w:r>
    </w:p>
    <w:p>
      <w:pPr>
        <w:pStyle w:val="BodyText"/>
        <w:spacing w:before="0" w:after="60" w:line="240" w:lineRule="auto"/>
        <w:ind w:firstLine="259"/>
      </w:pPr>
      <w:r>
        <w:rPr>
          <w:rFonts w:ascii="Times New Roman" w:hAnsi="Times New Roman" w:eastAsia="Times New Roman"/>
          <w:b w:val="0"/>
          <w:i w:val="0"/>
          <w:lang w:val="tr-TR" w:eastAsia="tr-TR"/>
        </w:rPr>
        <w:t>Modern güvenlik operasyon merkezleri (SOC), zararlı davranışları tespit etmek ve müdahaleyi önceliklendirmek için uç nokta, kimlik, ağ ve uygulama katmanlarından sürekli telemetri toplar. Bununla birlikte bir SIEM'in kurulu olması, kritik varlıkların beklenen kaynaklarla izlendiğini veya ilgili saldırı tekniklerinin gözlenebilir kanıta sahip olduğunu tek başına göstermez.</w:t>
      </w:r>
    </w:p>
    <w:p>
      <w:pPr>
        <w:pStyle w:val="BodyText"/>
        <w:spacing w:before="0" w:after="60" w:line="240" w:lineRule="auto"/>
        <w:ind w:firstLine="259"/>
      </w:pPr>
      <w:r>
        <w:rPr>
          <w:rFonts w:ascii="Times New Roman" w:hAnsi="Times New Roman" w:eastAsia="Times New Roman"/>
          <w:b w:val="0"/>
          <w:i w:val="0"/>
          <w:lang w:val="tr-TR" w:eastAsia="tr-TR"/>
        </w:rPr>
        <w:t>Kurumsal saldırı yüzeyinin büyümesi bu ayrımı daha önemli hale getirmektedir. Bulut hizmetleri, uzaktan erişim platformları, güvenlik duvarları, kimlik sağlayıcıları ve üçüncü taraf entegrasyonları parçalı kanıt üretir. Alarm hacmi yüksek olsa bile eski telemetri, kapsam dışı bırakılmış kontroller veya bağlanmamış teknikler kritik kör noktalar yaratabilir.</w:t>
      </w:r>
    </w:p>
    <w:p>
      <w:pPr>
        <w:pStyle w:val="BodyText"/>
        <w:spacing w:before="0" w:after="60" w:line="240" w:lineRule="auto"/>
        <w:ind w:firstLine="259"/>
      </w:pPr>
      <w:r>
        <w:rPr>
          <w:rFonts w:ascii="Times New Roman" w:hAnsi="Times New Roman" w:eastAsia="Times New Roman"/>
          <w:b w:val="0"/>
          <w:i w:val="0"/>
          <w:lang w:val="tr-TR" w:eastAsia="tr-TR"/>
        </w:rPr>
        <w:t>Bu çalışma şu araştırma sorusunu ele almaktadır: Heterojen SIEM telemetrisi ve tehdit bağlamı, kökeni izlenebilir ve kapsamı açıkça tanımlanmış bir görünürlük skoruna nasıl dönüştürülebilir? SACI; varlıkları, log kaynaklarını, tespit kontrollerini, kuralları, ATT&amp;CK tekniklerini ve CTI nesnelerini tiplenmiş bir kanıt grafında birleştirir.</w:t>
      </w:r>
    </w:p>
    <w:p>
      <w:pPr>
        <w:pStyle w:val="BodyText"/>
        <w:spacing w:before="0" w:after="60" w:line="240" w:lineRule="auto"/>
        <w:ind w:firstLine="259"/>
      </w:pPr>
      <w:r>
        <w:rPr>
          <w:rFonts w:ascii="Times New Roman" w:hAnsi="Times New Roman" w:eastAsia="Times New Roman"/>
          <w:b w:val="0"/>
          <w:i w:val="0"/>
          <w:lang w:val="tr-TR" w:eastAsia="tr-TR"/>
        </w:rPr>
        <w:t>SACI bir risk, saldırı önleme veya algılama olasılığı modeli değildir. Amaç; tanımlı kanıt evreninde hangi beklenen ilişkilerin kapandığını, hangi bileşenin skora katkı verdiğini ve hangi veri-bütünlüğü istisnalarının yorum sınırı oluşturduğunu deterministik olarak raporlamaktır.</w:t>
      </w:r>
    </w:p>
    <w:p>
      <w:pPr>
        <w:pStyle w:val="BodyText"/>
        <w:spacing w:before="0" w:after="60" w:line="240" w:lineRule="auto"/>
        <w:ind w:firstLine="0"/>
      </w:pPr>
      <w:r>
        <w:rPr>
          <w:rFonts w:ascii="Times New Roman" w:hAnsi="Times New Roman" w:eastAsia="Times New Roman"/>
          <w:b/>
          <w:i w:val="0"/>
          <w:lang w:val="tr-TR" w:eastAsia="tr-TR"/>
        </w:rPr>
        <w:t>Çalışmanın katkıları beş başlıkta özetlenebilir: (i) SIEM-CTI kanıtı için tiplenmiş graf şeması; (ii) CWLC, CAC, MDC, CTIC ve TF bileşenlerini N/A metriklerde aktif ağırlıkları yeniden normalize ederek birleştiren uygulanmış skor; (iii) nihai yayın anlık görüntüsü ile bundan ayrı tutulan 20 senaryolu tarihsel duyarlılık serisi; (iv) Wazuh, MISP, pfSense, Windows, Linux, Sysmon, PowerShell ve Ansible rollerini doğrulanmış kanıt ile yeniden üretim gereksinimleri bakımından ayıran laboratuvar kurulumu; (v) ham çıktılar, skorlayıcı, graf oluşturucu ve bütünlük denetimlerini yayımlayan denetlenebilir araştırma eki [13].</w:t>
      </w:r>
    </w:p>
    <w:p>
      <w:pPr>
        <w:pStyle w:val="Heading1"/>
        <w:spacing w:before="120" w:after="60"/>
        <w:ind w:firstLine="0"/>
        <w:jc w:val="center"/>
      </w:pPr>
      <w:r>
        <w:rPr>
          <w:rFonts w:ascii="Times New Roman" w:hAnsi="Times New Roman" w:eastAsia="Times New Roman"/>
          <w:b/>
          <w:i w:val="0"/>
          <w:sz w:val="20"/>
          <w:lang w:val="tr-TR" w:eastAsia="tr-TR"/>
        </w:rPr>
        <w:t>II. İLGİLİ ÇALIŞMALAR</w:t>
      </w:r>
    </w:p>
    <w:p>
      <w:pPr>
        <w:pStyle w:val="Heading2"/>
        <w:spacing w:before="120" w:after="60"/>
        <w:ind w:firstLine="0"/>
        <w:jc w:val="left"/>
      </w:pPr>
      <w:r>
        <w:rPr>
          <w:rFonts w:ascii="Times New Roman" w:hAnsi="Times New Roman" w:eastAsia="Times New Roman"/>
          <w:b/>
          <w:i w:val="0"/>
          <w:sz w:val="20"/>
          <w:lang w:val="tr-TR" w:eastAsia="tr-TR"/>
        </w:rPr>
        <w:t>A. SIEM Telemetrisi ve Sürekli İzleme</w:t>
      </w:r>
    </w:p>
    <w:p>
      <w:pPr>
        <w:pStyle w:val="BodyText"/>
        <w:spacing w:before="0" w:after="60" w:line="240" w:lineRule="auto"/>
        <w:ind w:firstLine="259"/>
      </w:pPr>
      <w:r>
        <w:rPr>
          <w:rFonts w:ascii="Times New Roman" w:hAnsi="Times New Roman" w:eastAsia="Times New Roman"/>
          <w:b w:val="0"/>
          <w:i w:val="0"/>
          <w:lang w:val="tr-TR" w:eastAsia="tr-TR"/>
        </w:rPr>
        <w:t>Sürekli izleme, güvenlik durumunun tek seferlik kontroller yerine zaman içinde gözlenen sistem ve kontrol kanıtlarıyla değerlendirilmesini gerektirir [4]. NIST CSF 2.0 da yönetişim ve ölçümün kurumsal bağlama bağlanmasını vurgular [5]. SACI bu yaklaşımı varlık-log kaynağı, kontrol-kural ve teknik ilişkilerine uygulamaktadır.</w:t>
      </w:r>
    </w:p>
    <w:p>
      <w:pPr>
        <w:pStyle w:val="BodyText"/>
        <w:spacing w:before="0" w:after="60" w:line="240" w:lineRule="auto"/>
        <w:ind w:firstLine="259"/>
      </w:pPr>
      <w:r>
        <w:rPr>
          <w:rFonts w:ascii="Times New Roman" w:hAnsi="Times New Roman" w:eastAsia="Times New Roman"/>
          <w:b w:val="0"/>
          <w:i w:val="0"/>
          <w:lang w:val="tr-TR" w:eastAsia="tr-TR"/>
        </w:rPr>
        <w:t>Wazuh, uç nokta izleme, kural tabanlı tespit ve ATT&amp;CK ilişkili kural metaverisi sağlar [2]. Ancak bir kuralda teknik kimliği bulunması, ilgili varlık ve log kaynağının gerçekten gözlendiğini veya tespitin dış ortamda etkili olduğunu kanıtlamaz. Bu nedenle SACI, yapılandırma varlığını gözlenen kapsam ilişkilerinden ayırır.</w:t>
      </w:r>
    </w:p>
    <w:p>
      <w:pPr>
        <w:pStyle w:val="Heading2"/>
        <w:spacing w:before="120" w:after="60"/>
        <w:ind w:firstLine="0"/>
        <w:jc w:val="left"/>
      </w:pPr>
      <w:r>
        <w:rPr>
          <w:rFonts w:ascii="Times New Roman" w:hAnsi="Times New Roman" w:eastAsia="Times New Roman"/>
          <w:b/>
          <w:i w:val="0"/>
          <w:sz w:val="20"/>
          <w:lang w:val="tr-TR" w:eastAsia="tr-TR"/>
        </w:rPr>
        <w:t>B. MITRE ATT&amp;CK ve Tehdit İstihbaratı</w:t>
      </w:r>
    </w:p>
    <w:p>
      <w:pPr>
        <w:pStyle w:val="BodyText"/>
        <w:spacing w:before="0" w:after="60" w:line="240" w:lineRule="auto"/>
        <w:ind w:firstLine="259"/>
      </w:pPr>
      <w:r>
        <w:rPr>
          <w:rFonts w:ascii="Times New Roman" w:hAnsi="Times New Roman" w:eastAsia="Times New Roman"/>
          <w:b w:val="0"/>
          <w:i w:val="0"/>
          <w:lang w:val="tr-TR" w:eastAsia="tr-TR"/>
        </w:rPr>
        <w:t>MITRE ATT&amp;CK, saldırgan taktik ve tekniklerini platformlar arası yapılandırılmış bir bilgi tabanı olarak sunar [1]. ATT&amp;CK tabanlı güvenlik değerlendirmelerinin yaygınlığına karşın kapsamın operasyonelleştirilmesi ve sonuçların doğru yorumlanması hâlen açık bir araştırma alanıdır [6]. SACI'nin MDC bileşeni yalnızca önceden beyan edilen teknik alt kümesini sayar.</w:t>
      </w:r>
    </w:p>
    <w:p>
      <w:pPr>
        <w:pStyle w:val="BodyText"/>
        <w:spacing w:before="0" w:after="60" w:line="240" w:lineRule="auto"/>
        <w:ind w:firstLine="259"/>
      </w:pPr>
      <w:r>
        <w:rPr>
          <w:rFonts w:ascii="Times New Roman" w:hAnsi="Times New Roman" w:eastAsia="Times New Roman"/>
          <w:b w:val="0"/>
          <w:i w:val="0"/>
          <w:lang w:val="tr-TR" w:eastAsia="tr-TR"/>
        </w:rPr>
        <w:t>STIX ve TAXII, tehdit göstergeleri ile ilişkili siber tehdit nesnelerinin makinece okunabilir temsilini ve değişimini destekler [3], [11]. CTI modelleri bağlam zenginleştirmeyi kolaylaştırsa da bu bağlamın iç telemetriyle nasıl bağlandığı ayrıca doğrulanmalıdır [10]. SACI bu bağı dört uygulama bayrağı üzerinden denetlenebilir hale getirir.</w:t>
      </w:r>
    </w:p>
    <w:p>
      <w:pPr>
        <w:pStyle w:val="Heading2"/>
        <w:spacing w:before="120" w:after="60"/>
        <w:ind w:firstLine="0"/>
        <w:jc w:val="left"/>
      </w:pPr>
      <w:r>
        <w:rPr>
          <w:rFonts w:ascii="Times New Roman" w:hAnsi="Times New Roman" w:eastAsia="Times New Roman"/>
          <w:b/>
          <w:i w:val="0"/>
          <w:sz w:val="20"/>
          <w:lang w:val="tr-TR" w:eastAsia="tr-TR"/>
        </w:rPr>
        <w:t>C. Graf Tabanlı Siber Güvenlik Değerlendirmesi</w:t>
      </w:r>
    </w:p>
    <w:p>
      <w:pPr>
        <w:pStyle w:val="BodyText"/>
        <w:spacing w:before="0" w:after="60" w:line="240" w:lineRule="auto"/>
        <w:ind w:firstLine="259"/>
      </w:pPr>
      <w:r>
        <w:rPr>
          <w:rFonts w:ascii="Times New Roman" w:hAnsi="Times New Roman" w:eastAsia="Times New Roman"/>
          <w:b w:val="0"/>
          <w:i w:val="0"/>
          <w:lang w:val="tr-TR" w:eastAsia="tr-TR"/>
        </w:rPr>
        <w:t>Siber güvenlik bilgi grafları çok kaynaklı varlık, olay, zafiyet ve istihbarat verisini ilişkisel biçimde birleştirerek köken izleme ve karar desteği sağlar [8]. Bununla birlikte kapalı-dünya varsayımları ve sınırlı laboratuvar verisi, gözlenmeyen bir ilişkinin yokluk mu yoksa veri eksikliği mi olduğunu ayırmayı güçleştirebilir [9].</w:t>
      </w:r>
    </w:p>
    <w:p>
      <w:pPr>
        <w:pStyle w:val="BodyText"/>
        <w:spacing w:before="0" w:after="60" w:line="240" w:lineRule="auto"/>
        <w:ind w:firstLine="259"/>
      </w:pPr>
      <w:r>
        <w:rPr>
          <w:rFonts w:ascii="Times New Roman" w:hAnsi="Times New Roman" w:eastAsia="Times New Roman"/>
          <w:b w:val="0"/>
          <w:i w:val="0"/>
          <w:lang w:val="tr-TR" w:eastAsia="tr-TR"/>
        </w:rPr>
        <w:t>ATT&amp;CK tabanlı puanlama çerçeveleri değerlendirme sonuçlarını teknik kapsam üzerinden özetlemiştir [7]. İleri kalıcı tehdit örnekleri, çok aşamalı davranışların tek bir göstergeye indirgenemeyeceğini göstermektedir [12]. SACI bu literatürü tamamlayarak tespit başarısı yerine kapsamla sınırlandırılmış SIEM kanıt kapanışını ölçer.</w:t>
      </w:r>
    </w:p>
    <w:p>
      <w:pPr>
        <w:pStyle w:val="Heading1"/>
        <w:spacing w:before="120" w:after="60"/>
        <w:ind w:firstLine="0"/>
        <w:jc w:val="center"/>
      </w:pPr>
      <w:r>
        <w:rPr>
          <w:rFonts w:ascii="Times New Roman" w:hAnsi="Times New Roman" w:eastAsia="Times New Roman"/>
          <w:b/>
          <w:i w:val="0"/>
          <w:sz w:val="20"/>
          <w:lang w:val="tr-TR" w:eastAsia="tr-TR"/>
        </w:rPr>
        <w:t>III. ÖNERİLEN MODEL</w:t>
      </w:r>
    </w:p>
    <w:p>
      <w:pPr>
        <w:pStyle w:val="BodyText"/>
        <w:spacing w:before="0" w:after="60" w:line="240" w:lineRule="auto"/>
        <w:ind w:firstLine="259"/>
      </w:pPr>
      <w:r>
        <w:rPr>
          <w:rFonts w:ascii="Times New Roman" w:hAnsi="Times New Roman" w:eastAsia="Times New Roman"/>
          <w:b w:val="0"/>
          <w:i w:val="0"/>
          <w:lang w:val="tr-TR" w:eastAsia="tr-TR"/>
        </w:rPr>
        <w:t>SACI beş mantıksal katmandan oluşur: kapsam ve varlık envanteri, telemetri/tespit kanıtı, ATT&amp;CK-CTI bağlamı, tiplenmiş graf füzyonu ve aktif-ağırlıkla normalize edilen skorlama. Şekil 1, nihai yayın hattında beklentilerin gözlenen kanıtla birleştirilip skor, bütünlük bulgusu ve yayımlanabilir artefakta dönüştürülmesini özetlemektedir.</w:t>
      </w:r>
    </w:p>
    <w:p>
      <w:pPr>
        <w:spacing w:after="40"/>
        <w:jc w:val="center"/>
      </w:pPr>
      <w:r>
        <w:drawing>
          <wp:inline xmlns:a="http://schemas.openxmlformats.org/drawingml/2006/main" xmlns:pic="http://schemas.openxmlformats.org/drawingml/2006/picture">
            <wp:extent cx="3063240" cy="1422219"/>
            <wp:docPr id="1" name="Picture 1" title="SACI evidence pipeline" descr="SACI kapsam ve gözlenen kanıtının tiplenmiş grafa, beş bileşenli skora ve denetlenebilir araştırma çıktılarına akışını gösteren diyagram."/>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63240" cy="1422219"/>
                    </a:xfrm>
                    <a:prstGeom prst="rect"/>
                  </pic:spPr>
                </pic:pic>
              </a:graphicData>
            </a:graphic>
          </wp:inline>
        </w:drawing>
      </w:r>
    </w:p>
    <w:p>
      <w:pPr>
        <w:pStyle w:val="BodyText"/>
        <w:spacing w:before="0" w:after="60" w:line="240" w:lineRule="auto"/>
        <w:ind w:firstLine="0"/>
        <w:jc w:val="center"/>
      </w:pPr>
      <w:r>
        <w:rPr>
          <w:rFonts w:ascii="Times New Roman" w:hAnsi="Times New Roman" w:eastAsia="Times New Roman"/>
          <w:b w:val="0"/>
          <w:i/>
          <w:sz w:val="16"/>
          <w:lang w:val="tr-TR" w:eastAsia="tr-TR"/>
        </w:rPr>
        <w:t>Şekil 1. SACI kanıt işleme ve yayımlama hattı.</w:t>
      </w:r>
    </w:p>
    <w:p>
      <w:pPr>
        <w:pStyle w:val="Heading2"/>
        <w:spacing w:before="120" w:after="60"/>
        <w:ind w:firstLine="0"/>
        <w:jc w:val="left"/>
      </w:pPr>
      <w:r>
        <w:rPr>
          <w:rFonts w:ascii="Times New Roman" w:hAnsi="Times New Roman" w:eastAsia="Times New Roman"/>
          <w:b/>
          <w:i w:val="0"/>
          <w:sz w:val="20"/>
          <w:lang w:val="tr-TR" w:eastAsia="tr-TR"/>
        </w:rPr>
        <w:t>A. Graf Şeması</w:t>
      </w:r>
    </w:p>
    <w:p>
      <w:pPr>
        <w:pStyle w:val="BodyText"/>
        <w:spacing w:before="0" w:after="60" w:line="240" w:lineRule="auto"/>
        <w:ind w:firstLine="259"/>
      </w:pPr>
      <w:r>
        <w:rPr>
          <w:rFonts w:ascii="Times New Roman" w:hAnsi="Times New Roman" w:eastAsia="Times New Roman"/>
          <w:b w:val="0"/>
          <w:i w:val="0"/>
          <w:lang w:val="tr-TR" w:eastAsia="tr-TR"/>
        </w:rPr>
        <w:t>Graf G=(V,E) olarak tanımlanır. V; varlık, log kaynağı, tespit kontrolü, Wazuh kuralı, ATT&amp;CK tekniği, tiplenmiş CTI nesnesi, platform, entegrasyon, skor metriği ve reason-code düğümlerini içerir. E, kaynak ve hedef kimlikleriyle ifade edilen yönlü, tiplenmiş kanıt satırlarından oluşur.</w:t>
      </w:r>
    </w:p>
    <w:p>
      <w:pPr>
        <w:pStyle w:val="BodyText"/>
        <w:spacing w:before="0" w:after="60" w:line="240" w:lineRule="auto"/>
        <w:ind w:firstLine="259"/>
      </w:pPr>
      <w:r>
        <w:rPr>
          <w:rFonts w:ascii="Times New Roman" w:hAnsi="Times New Roman" w:eastAsia="Times New Roman"/>
          <w:b w:val="0"/>
          <w:i w:val="0"/>
          <w:lang w:val="tr-TR" w:eastAsia="tr-TR"/>
        </w:rPr>
        <w:t>Nihai yayın grafında 17 ilişki etiketi örneklenmiştir: alerted_in, collected_by, contains, contains_ioc, contributes_to, converted_to_alert, detects_technique, emits, mapped_to, maps_to, matches_ioc, produces_rule, protected_by, queries, triggers_integration, uses ve uses_log_source. observed=1 bir satırın üretilen kanıt tablosunda kapandığını; observed=0 ise tanımlı fakat kapanmamış satırı belirtir.</w:t>
      </w:r>
    </w:p>
    <w:p>
      <w:pPr>
        <w:pStyle w:val="BodyText"/>
        <w:spacing w:after="40"/>
        <w:ind w:firstLine="0" w:left="173"/>
      </w:pPr>
      <w:r>
        <w:rPr>
          <w:rFonts w:ascii="Times New Roman" w:hAnsi="Times New Roman" w:eastAsia="Times New Roman"/>
          <w:b/>
          <w:i w:val="0"/>
          <w:sz w:val="18"/>
          <w:lang w:val="tr-TR" w:eastAsia="tr-TR"/>
        </w:rPr>
        <w:t>Varlık düğümü: kapsam içindeki sistem kimliği, ana bilgisayar adı ve kritiklik değerini temsil eder.</w:t>
      </w:r>
    </w:p>
    <w:p>
      <w:pPr>
        <w:pStyle w:val="BodyText"/>
        <w:spacing w:after="40"/>
        <w:ind w:firstLine="0" w:left="173"/>
      </w:pPr>
      <w:r>
        <w:rPr>
          <w:rFonts w:ascii="Times New Roman" w:hAnsi="Times New Roman" w:eastAsia="Times New Roman"/>
          <w:b/>
          <w:i w:val="0"/>
          <w:sz w:val="18"/>
          <w:lang w:val="tr-TR" w:eastAsia="tr-TR"/>
        </w:rPr>
        <w:t>Log kaynağı/kontrol düğümü: beklenen telemetri kaynağını ve bu kanıta bağlı etkin tespit kontrolünü temsil eder.</w:t>
      </w:r>
    </w:p>
    <w:p>
      <w:pPr>
        <w:pStyle w:val="BodyText"/>
        <w:spacing w:after="40"/>
        <w:ind w:firstLine="0" w:left="173"/>
      </w:pPr>
      <w:r>
        <w:rPr>
          <w:rFonts w:ascii="Times New Roman" w:hAnsi="Times New Roman" w:eastAsia="Times New Roman"/>
          <w:b/>
          <w:i w:val="0"/>
          <w:sz w:val="18"/>
          <w:lang w:val="tr-TR" w:eastAsia="tr-TR"/>
        </w:rPr>
        <w:t>Kural/teknik düğümü: Wazuh kuralını ve kapsam içindeki ATT&amp;CK teknik eşlemesini temsil eder.</w:t>
      </w:r>
    </w:p>
    <w:p>
      <w:pPr>
        <w:pStyle w:val="BodyText"/>
        <w:spacing w:after="40"/>
        <w:ind w:firstLine="0" w:left="173"/>
      </w:pPr>
      <w:r>
        <w:rPr>
          <w:rFonts w:ascii="Times New Roman" w:hAnsi="Times New Roman" w:eastAsia="Times New Roman"/>
          <w:b/>
          <w:i w:val="0"/>
          <w:sz w:val="18"/>
          <w:lang w:val="tr-TR" w:eastAsia="tr-TR"/>
        </w:rPr>
        <w:t>CTI/platform/metrik düğümü: IOC, MISP-Wazuh entegrasyonu ve hesaplanan SACI bileşenlerini temsil eder.</w:t>
      </w:r>
    </w:p>
    <w:p>
      <w:pPr>
        <w:pStyle w:val="BodyText"/>
        <w:spacing w:after="40"/>
        <w:ind w:firstLine="0" w:left="173"/>
      </w:pPr>
      <w:r>
        <w:rPr>
          <w:rFonts w:ascii="Times New Roman" w:hAnsi="Times New Roman" w:eastAsia="Times New Roman"/>
          <w:b/>
          <w:i w:val="0"/>
          <w:sz w:val="18"/>
          <w:lang w:val="tr-TR" w:eastAsia="tr-TR"/>
        </w:rPr>
        <w:t>Bütünlük kanıtı: gözlem durumu, benzersiz ilişki üçlüleri, beyan edilmemiş uçlar, izole düğümler ve koşullu reason-code çıktıları birlikte değerlendirilir.</w:t>
      </w:r>
    </w:p>
    <w:p>
      <w:pPr>
        <w:pStyle w:val="Heading2"/>
        <w:spacing w:before="120" w:after="60"/>
        <w:ind w:firstLine="0"/>
        <w:jc w:val="left"/>
      </w:pPr>
      <w:r>
        <w:rPr>
          <w:rFonts w:ascii="Times New Roman" w:hAnsi="Times New Roman" w:eastAsia="Times New Roman"/>
          <w:b/>
          <w:i w:val="0"/>
          <w:sz w:val="20"/>
          <w:lang w:val="tr-TR" w:eastAsia="tr-TR"/>
        </w:rPr>
        <w:t>B. Görünürlük Metrikleri</w:t>
      </w:r>
    </w:p>
    <w:p>
      <w:pPr>
        <w:pStyle w:val="BodyText"/>
        <w:spacing w:before="0" w:after="60" w:line="240" w:lineRule="auto"/>
        <w:ind w:firstLine="259"/>
      </w:pPr>
      <w:r>
        <w:rPr>
          <w:rFonts w:ascii="Times New Roman" w:hAnsi="Times New Roman" w:eastAsia="Times New Roman"/>
          <w:b w:val="0"/>
          <w:i w:val="0"/>
          <w:lang w:val="tr-TR" w:eastAsia="tr-TR"/>
        </w:rPr>
        <w:t>Bileşen skorları [0,100] aralığındadır. Uygulanabilir metrik kümesi M* için nihai skor, aktif ağırlıkların toplamına bölünerek hesaplanır; N/A metrikler sıfır yapılmaz, pay ve paydadan çıkarılır.</w:t>
      </w:r>
    </w:p>
    <w:p>
      <w:pPr>
        <w:pStyle w:val="BodyText"/>
        <w:spacing w:before="0" w:after="60" w:line="240" w:lineRule="auto"/>
        <w:ind w:firstLine="0"/>
        <w:jc w:val="center"/>
      </w:pPr>
      <m:oMath>
        <m:r>
          <m:rPr>
            <m:sty m:val="p"/>
          </m:rPr>
          <w:rPr>
            <w:sz w:val="20"/>
            <w:szCs w:val="20"/>
            <w:lang w:val="tr-TR" w:eastAsia="tr-TR"/>
          </w:rPr>
          <m:t>SACI</m:t>
        </m:r>
        <m:r>
          <w:rPr>
            <w:sz w:val="20"/>
            <w:szCs w:val="20"/>
            <w:lang w:val="tr-TR" w:eastAsia="tr-TR"/>
          </w:rPr>
          <m:t>=</m:t>
        </m:r>
        <m:f>
          <m:fPr>
            <m:type m:val="bar"/>
          </m:fPr>
          <m:num>
            <m:nary>
              <m:naryPr>
                <m:chr m:val="∑"/>
                <m:limLoc m:val="undOvr"/>
                <m:grow m:val="1"/>
                <m:subHide m:val="off"/>
                <m:supHide m:val="on"/>
              </m:naryPr>
              <m:sub>
                <m:r>
                  <w:rPr>
                    <w:sz w:val="20"/>
                    <w:szCs w:val="20"/>
                    <w:lang w:val="tr-TR" w:eastAsia="tr-TR"/>
                  </w:rPr>
                  <m:t>m∈</m:t>
                </m:r>
                <m:sSup>
                  <m:e>
                    <m:r>
                      <w:rPr>
                        <w:sz w:val="20"/>
                        <w:szCs w:val="20"/>
                        <w:lang w:val="tr-TR" w:eastAsia="tr-TR"/>
                      </w:rPr>
                      <m:t>M</m:t>
                    </m:r>
                  </m:e>
                  <m:sup>
                    <m:r>
                      <w:rPr>
                        <w:sz w:val="20"/>
                        <w:szCs w:val="20"/>
                        <w:lang w:val="tr-TR" w:eastAsia="tr-TR"/>
                      </w:rPr>
                      <m:t>*</m:t>
                    </m:r>
                  </m:sup>
                </m:sSup>
              </m:sub>
              <m:sup/>
              <m:e>
                <m:sSub>
                  <m:e>
                    <m:r>
                      <w:rPr>
                        <w:sz w:val="20"/>
                        <w:szCs w:val="20"/>
                        <w:lang w:val="tr-TR" w:eastAsia="tr-TR"/>
                      </w:rPr>
                      <m:t>w</m:t>
                    </m:r>
                  </m:e>
                  <m:sub>
                    <m:r>
                      <w:rPr>
                        <w:sz w:val="20"/>
                        <w:szCs w:val="20"/>
                        <w:lang w:val="tr-TR" w:eastAsia="tr-TR"/>
                      </w:rPr>
                      <m:t>m</m:t>
                    </m:r>
                  </m:sub>
                </m:sSub>
              </m:e>
            </m:nary>
            <m:sSub>
              <m:e>
                <m:r>
                  <w:rPr>
                    <w:sz w:val="20"/>
                    <w:szCs w:val="20"/>
                    <w:lang w:val="tr-TR" w:eastAsia="tr-TR"/>
                  </w:rPr>
                  <m:t>S</m:t>
                </m:r>
              </m:e>
              <m:sub>
                <m:r>
                  <w:rPr>
                    <w:sz w:val="20"/>
                    <w:szCs w:val="20"/>
                    <w:lang w:val="tr-TR" w:eastAsia="tr-TR"/>
                  </w:rPr>
                  <m:t>m</m:t>
                </m:r>
              </m:sub>
            </m:sSub>
          </m:num>
          <m:den>
            <m:nary>
              <m:naryPr>
                <m:chr m:val="∑"/>
                <m:limLoc m:val="undOvr"/>
                <m:grow m:val="1"/>
                <m:subHide m:val="off"/>
                <m:supHide m:val="on"/>
              </m:naryPr>
              <m:sub>
                <m:r>
                  <w:rPr>
                    <w:sz w:val="20"/>
                    <w:szCs w:val="20"/>
                    <w:lang w:val="tr-TR" w:eastAsia="tr-TR"/>
                  </w:rPr>
                  <m:t>m∈</m:t>
                </m:r>
                <m:sSup>
                  <m:e>
                    <m:r>
                      <w:rPr>
                        <w:sz w:val="20"/>
                        <w:szCs w:val="20"/>
                        <w:lang w:val="tr-TR" w:eastAsia="tr-TR"/>
                      </w:rPr>
                      <m:t>M</m:t>
                    </m:r>
                  </m:e>
                  <m:sup>
                    <m:r>
                      <w:rPr>
                        <w:sz w:val="20"/>
                        <w:szCs w:val="20"/>
                        <w:lang w:val="tr-TR" w:eastAsia="tr-TR"/>
                      </w:rPr>
                      <m:t>*</m:t>
                    </m:r>
                  </m:sup>
                </m:sSup>
              </m:sub>
              <m:sup/>
              <m:e>
                <m:sSub>
                  <m:e>
                    <m:r>
                      <w:rPr>
                        <w:sz w:val="20"/>
                        <w:szCs w:val="20"/>
                        <w:lang w:val="tr-TR" w:eastAsia="tr-TR"/>
                      </w:rPr>
                      <m:t>w</m:t>
                    </m:r>
                  </m:e>
                  <m:sub>
                    <m:r>
                      <w:rPr>
                        <w:sz w:val="20"/>
                        <w:szCs w:val="20"/>
                        <w:lang w:val="tr-TR" w:eastAsia="tr-TR"/>
                      </w:rPr>
                      <m:t>m</m:t>
                    </m:r>
                  </m:sub>
                </m:sSub>
              </m:e>
            </m:nary>
          </m:den>
        </m:f>
      </m:oMath>
    </w:p>
    <w:p>
      <w:pPr>
        <w:pStyle w:val="BodyText"/>
        <w:spacing w:before="0" w:after="60" w:line="240" w:lineRule="auto"/>
        <w:ind w:firstLine="259"/>
      </w:pPr>
      <w:r>
        <w:rPr>
          <w:rFonts w:ascii="Times New Roman" w:hAnsi="Times New Roman" w:eastAsia="Times New Roman"/>
          <w:b w:val="0"/>
          <w:i w:val="0"/>
          <w:lang w:val="tr-TR" w:eastAsia="tr-TR"/>
        </w:rPr>
        <w:t>Nihai değerlendirmede tüm metrikler aktiftir ve ağırlıklar CWLC=0.30, CAC=0.25, MDC=0.20, CTIC=0.15 ve TF=0.10'dur. Ağırlıkların toplamı 1.00'dır; bu değerler tasarım tercihleridir ve olasılık olarak yorumlanmaz.</w:t>
      </w:r>
    </w:p>
    <w:p>
      <w:pPr>
        <w:pStyle w:val="BodyText"/>
        <w:spacing w:after="40"/>
        <w:ind w:firstLine="0" w:left="173"/>
      </w:pPr>
      <m:oMath>
        <m:sSub>
          <m:e>
            <m:r>
              <w:rPr>
                <w:sz w:val="20"/>
                <w:szCs w:val="20"/>
                <w:lang w:val="tr-TR" w:eastAsia="tr-TR"/>
              </w:rPr>
              <m:t>L</m:t>
            </m:r>
          </m:e>
          <m:sub>
            <m:r>
              <w:rPr>
                <w:sz w:val="20"/>
                <w:szCs w:val="20"/>
                <w:lang w:val="tr-TR" w:eastAsia="tr-TR"/>
              </w:rPr>
              <m:t>a</m:t>
            </m:r>
          </m:sub>
        </m:sSub>
        <m:r>
          <w:rPr>
            <w:sz w:val="20"/>
            <w:szCs w:val="20"/>
            <w:lang w:val="tr-TR" w:eastAsia="tr-TR"/>
          </w:rPr>
          <m:t>=</m:t>
        </m:r>
        <m:f>
          <m:fPr>
            <m:type m:val="bar"/>
          </m:fPr>
          <m:num>
            <m:nary>
              <m:naryPr>
                <m:chr m:val="∑"/>
                <m:limLoc m:val="undOvr"/>
                <m:grow m:val="1"/>
                <m:subHide m:val="off"/>
                <m:supHide m:val="on"/>
              </m:naryPr>
              <m:sub>
                <m:r>
                  <w:rPr>
                    <w:sz w:val="20"/>
                    <w:szCs w:val="20"/>
                    <w:lang w:val="tr-TR" w:eastAsia="tr-TR"/>
                  </w:rPr>
                  <m:t>s∈</m:t>
                </m:r>
                <m:sSub>
                  <m:e>
                    <m:r>
                      <w:rPr>
                        <w:sz w:val="20"/>
                        <w:szCs w:val="20"/>
                        <w:lang w:val="tr-TR" w:eastAsia="tr-TR"/>
                      </w:rPr>
                      <m:t>S</m:t>
                    </m:r>
                  </m:e>
                  <m:sub>
                    <m:r>
                      <w:rPr>
                        <w:sz w:val="20"/>
                        <w:szCs w:val="20"/>
                        <w:lang w:val="tr-TR" w:eastAsia="tr-TR"/>
                      </w:rPr>
                      <m:t>a</m:t>
                    </m:r>
                  </m:sub>
                </m:sSub>
              </m:sub>
              <m:sup/>
              <m:e>
                <m:sSub>
                  <m:e>
                    <m:r>
                      <w:rPr>
                        <w:sz w:val="20"/>
                        <w:szCs w:val="20"/>
                        <w:lang w:val="tr-TR" w:eastAsia="tr-TR"/>
                      </w:rPr>
                      <m:t>w</m:t>
                    </m:r>
                  </m:e>
                  <m:sub>
                    <m:r>
                      <w:rPr>
                        <w:sz w:val="20"/>
                        <w:szCs w:val="20"/>
                        <w:lang w:val="tr-TR" w:eastAsia="tr-TR"/>
                      </w:rPr>
                      <m:t>as</m:t>
                    </m:r>
                  </m:sub>
                </m:sSub>
              </m:e>
            </m:nary>
            <m:sSub>
              <m:e>
                <m:r>
                  <w:rPr>
                    <w:sz w:val="20"/>
                    <w:szCs w:val="20"/>
                    <w:lang w:val="tr-TR" w:eastAsia="tr-TR"/>
                  </w:rPr>
                  <m:t>o</m:t>
                </m:r>
              </m:e>
              <m:sub>
                <m:r>
                  <w:rPr>
                    <w:sz w:val="20"/>
                    <w:szCs w:val="20"/>
                    <w:lang w:val="tr-TR" w:eastAsia="tr-TR"/>
                  </w:rPr>
                  <m:t>as</m:t>
                </m:r>
              </m:sub>
            </m:sSub>
          </m:num>
          <m:den>
            <m:nary>
              <m:naryPr>
                <m:chr m:val="∑"/>
                <m:limLoc m:val="undOvr"/>
                <m:grow m:val="1"/>
                <m:subHide m:val="off"/>
                <m:supHide m:val="on"/>
              </m:naryPr>
              <m:sub>
                <m:r>
                  <w:rPr>
                    <w:sz w:val="20"/>
                    <w:szCs w:val="20"/>
                    <w:lang w:val="tr-TR" w:eastAsia="tr-TR"/>
                  </w:rPr>
                  <m:t>s∈</m:t>
                </m:r>
                <m:sSub>
                  <m:e>
                    <m:r>
                      <w:rPr>
                        <w:sz w:val="20"/>
                        <w:szCs w:val="20"/>
                        <w:lang w:val="tr-TR" w:eastAsia="tr-TR"/>
                      </w:rPr>
                      <m:t>S</m:t>
                    </m:r>
                  </m:e>
                  <m:sub>
                    <m:r>
                      <w:rPr>
                        <w:sz w:val="20"/>
                        <w:szCs w:val="20"/>
                        <w:lang w:val="tr-TR" w:eastAsia="tr-TR"/>
                      </w:rPr>
                      <m:t>a</m:t>
                    </m:r>
                  </m:sub>
                </m:sSub>
              </m:sub>
              <m:sup/>
              <m:e>
                <m:sSub>
                  <m:e>
                    <m:r>
                      <w:rPr>
                        <w:sz w:val="20"/>
                        <w:szCs w:val="20"/>
                        <w:lang w:val="tr-TR" w:eastAsia="tr-TR"/>
                      </w:rPr>
                      <m:t>w</m:t>
                    </m:r>
                  </m:e>
                  <m:sub>
                    <m:r>
                      <w:rPr>
                        <w:sz w:val="20"/>
                        <w:szCs w:val="20"/>
                        <w:lang w:val="tr-TR" w:eastAsia="tr-TR"/>
                      </w:rPr>
                      <m:t>as</m:t>
                    </m:r>
                  </m:sub>
                </m:sSub>
              </m:e>
            </m:nary>
          </m:den>
        </m:f>
      </m:oMath>
      <w:r>
        <w:rPr>
          <w:rFonts w:ascii="Times New Roman" w:hAnsi="Times New Roman" w:eastAsia="Times New Roman"/>
          <w:i w:val="0"/>
          <w:sz w:val="18"/>
          <w:lang w:val="tr-TR" w:eastAsia="tr-TR"/>
        </w:rPr>
        <w:br/>
      </w:r>
      <m:oMath>
        <m:r>
          <m:rPr>
            <m:sty m:val="p"/>
          </m:rPr>
          <w:rPr>
            <w:sz w:val="20"/>
            <w:szCs w:val="20"/>
            <w:lang w:val="tr-TR" w:eastAsia="tr-TR"/>
          </w:rPr>
          <m:t>CWLC</m:t>
        </m:r>
        <m:r>
          <w:rPr>
            <w:sz w:val="20"/>
            <w:szCs w:val="20"/>
            <w:lang w:val="tr-TR" w:eastAsia="tr-TR"/>
          </w:rPr>
          <m:t>=100</m:t>
        </m:r>
        <m:f>
          <m:fPr>
            <m:type m:val="bar"/>
          </m:fPr>
          <m:num>
            <m:nary>
              <m:naryPr>
                <m:chr m:val="∑"/>
                <m:limLoc m:val="undOvr"/>
                <m:grow m:val="1"/>
                <m:subHide m:val="off"/>
                <m:supHide m:val="on"/>
              </m:naryPr>
              <m:sub>
                <m:r>
                  <w:rPr>
                    <w:sz w:val="20"/>
                    <w:szCs w:val="20"/>
                    <w:lang w:val="tr-TR" w:eastAsia="tr-TR"/>
                  </w:rPr>
                  <m:t>a∈</m:t>
                </m:r>
                <m:sSup>
                  <m:e>
                    <m:r>
                      <w:rPr>
                        <w:sz w:val="20"/>
                        <w:szCs w:val="20"/>
                        <w:lang w:val="tr-TR" w:eastAsia="tr-TR"/>
                      </w:rPr>
                      <m:t>A</m:t>
                    </m:r>
                  </m:e>
                  <m:sup>
                    <m:r>
                      <w:rPr>
                        <w:sz w:val="20"/>
                        <w:szCs w:val="20"/>
                        <w:lang w:val="tr-TR" w:eastAsia="tr-TR"/>
                      </w:rPr>
                      <m:t>*</m:t>
                    </m:r>
                  </m:sup>
                </m:sSup>
              </m:sub>
              <m:sup/>
              <m:e>
                <m:sSub>
                  <m:e>
                    <m:r>
                      <w:rPr>
                        <w:sz w:val="20"/>
                        <w:szCs w:val="20"/>
                        <w:lang w:val="tr-TR" w:eastAsia="tr-TR"/>
                      </w:rPr>
                      <m:t>c</m:t>
                    </m:r>
                  </m:e>
                  <m:sub>
                    <m:r>
                      <w:rPr>
                        <w:sz w:val="20"/>
                        <w:szCs w:val="20"/>
                        <w:lang w:val="tr-TR" w:eastAsia="tr-TR"/>
                      </w:rPr>
                      <m:t>a</m:t>
                    </m:r>
                  </m:sub>
                </m:sSub>
              </m:e>
            </m:nary>
            <m:sSub>
              <m:e>
                <m:r>
                  <w:rPr>
                    <w:sz w:val="20"/>
                    <w:szCs w:val="20"/>
                    <w:lang w:val="tr-TR" w:eastAsia="tr-TR"/>
                  </w:rPr>
                  <m:t>L</m:t>
                </m:r>
              </m:e>
              <m:sub>
                <m:r>
                  <w:rPr>
                    <w:sz w:val="20"/>
                    <w:szCs w:val="20"/>
                    <w:lang w:val="tr-TR" w:eastAsia="tr-TR"/>
                  </w:rPr>
                  <m:t>a</m:t>
                </m:r>
              </m:sub>
            </m:sSub>
          </m:num>
          <m:den>
            <m:nary>
              <m:naryPr>
                <m:chr m:val="∑"/>
                <m:limLoc m:val="undOvr"/>
                <m:grow m:val="1"/>
                <m:subHide m:val="off"/>
                <m:supHide m:val="on"/>
              </m:naryPr>
              <m:sub>
                <m:r>
                  <w:rPr>
                    <w:sz w:val="20"/>
                    <w:szCs w:val="20"/>
                    <w:lang w:val="tr-TR" w:eastAsia="tr-TR"/>
                  </w:rPr>
                  <m:t>a∈</m:t>
                </m:r>
                <m:sSup>
                  <m:e>
                    <m:r>
                      <w:rPr>
                        <w:sz w:val="20"/>
                        <w:szCs w:val="20"/>
                        <w:lang w:val="tr-TR" w:eastAsia="tr-TR"/>
                      </w:rPr>
                      <m:t>A</m:t>
                    </m:r>
                  </m:e>
                  <m:sup>
                    <m:r>
                      <w:rPr>
                        <w:sz w:val="20"/>
                        <w:szCs w:val="20"/>
                        <w:lang w:val="tr-TR" w:eastAsia="tr-TR"/>
                      </w:rPr>
                      <m:t>*</m:t>
                    </m:r>
                  </m:sup>
                </m:sSup>
              </m:sub>
              <m:sup/>
              <m:e>
                <m:sSub>
                  <m:e>
                    <m:r>
                      <w:rPr>
                        <w:sz w:val="20"/>
                        <w:szCs w:val="20"/>
                        <w:lang w:val="tr-TR" w:eastAsia="tr-TR"/>
                      </w:rPr>
                      <m:t>c</m:t>
                    </m:r>
                  </m:e>
                  <m:sub>
                    <m:r>
                      <w:rPr>
                        <w:sz w:val="20"/>
                        <w:szCs w:val="20"/>
                        <w:lang w:val="tr-TR" w:eastAsia="tr-TR"/>
                      </w:rPr>
                      <m:t>a</m:t>
                    </m:r>
                  </m:sub>
                </m:sSub>
              </m:e>
            </m:nary>
          </m:den>
        </m:f>
      </m:oMath>
      <w:r>
        <w:rPr>
          <w:rFonts w:ascii="Times New Roman" w:hAnsi="Times New Roman" w:eastAsia="Times New Roman"/>
          <w:i w:val="0"/>
          <w:sz w:val="18"/>
          <w:lang w:val="tr-TR" w:eastAsia="tr-TR"/>
        </w:rPr>
        <w:br/>
      </w:r>
      <w:r>
        <w:rPr>
          <w:rFonts w:ascii="Times New Roman" w:hAnsi="Times New Roman" w:eastAsia="Times New Roman"/>
          <w:i w:val="0"/>
          <w:sz w:val="18"/>
          <w:lang w:val="tr-TR" w:eastAsia="tr-TR"/>
        </w:rPr>
        <w:t>Gözlem durumu ve kaynak ağırlığı log kaynağı düzeyinde tanımlanır; varlık görünürlüğü kritikliğiyle ağırlıklandırılır.</w:t>
      </w:r>
    </w:p>
    <w:p>
      <w:pPr>
        <w:pStyle w:val="BodyText"/>
        <w:spacing w:after="40"/>
        <w:ind w:firstLine="0" w:left="173"/>
      </w:pPr>
      <m:oMath>
        <m:r>
          <m:rPr>
            <m:sty m:val="p"/>
          </m:rPr>
          <w:rPr>
            <w:sz w:val="20"/>
            <w:szCs w:val="20"/>
            <w:lang w:val="tr-TR" w:eastAsia="tr-TR"/>
          </w:rPr>
          <m:t>CAC</m:t>
        </m:r>
        <m:r>
          <w:rPr>
            <w:sz w:val="20"/>
            <w:szCs w:val="20"/>
            <w:lang w:val="tr-TR" w:eastAsia="tr-TR"/>
          </w:rPr>
          <m:t>=100</m:t>
        </m:r>
        <m:f>
          <m:fPr>
            <m:type m:val="bar"/>
          </m:fPr>
          <m:num>
            <m:nary>
              <m:naryPr>
                <m:chr m:val="∑"/>
                <m:limLoc m:val="undOvr"/>
                <m:grow m:val="1"/>
                <m:subHide m:val="off"/>
                <m:supHide m:val="on"/>
              </m:naryPr>
              <m:sub>
                <m:r>
                  <w:rPr>
                    <w:sz w:val="20"/>
                    <w:szCs w:val="20"/>
                    <w:lang w:val="tr-TR" w:eastAsia="tr-TR"/>
                  </w:rPr>
                  <m:t>c∈C</m:t>
                </m:r>
              </m:sub>
              <m:sup/>
              <m:e>
                <m:sSub>
                  <m:e>
                    <m:r>
                      <w:rPr>
                        <w:sz w:val="20"/>
                        <w:szCs w:val="20"/>
                        <w:lang w:val="tr-TR" w:eastAsia="tr-TR"/>
                      </w:rPr>
                      <m:t>w</m:t>
                    </m:r>
                  </m:e>
                  <m:sub>
                    <m:r>
                      <w:rPr>
                        <w:sz w:val="20"/>
                        <w:szCs w:val="20"/>
                        <w:lang w:val="tr-TR" w:eastAsia="tr-TR"/>
                      </w:rPr>
                      <m:t>c</m:t>
                    </m:r>
                  </m:sub>
                </m:sSub>
              </m:e>
            </m:nary>
            <m:sSub>
              <m:e>
                <m:r>
                  <w:rPr>
                    <w:sz w:val="20"/>
                    <w:szCs w:val="20"/>
                    <w:lang w:val="tr-TR" w:eastAsia="tr-TR"/>
                  </w:rPr>
                  <m:t>e</m:t>
                </m:r>
              </m:e>
              <m:sub>
                <m:r>
                  <w:rPr>
                    <w:sz w:val="20"/>
                    <w:szCs w:val="20"/>
                    <w:lang w:val="tr-TR" w:eastAsia="tr-TR"/>
                  </w:rPr>
                  <m:t>c</m:t>
                </m:r>
              </m:sub>
            </m:sSub>
            <m:sSub>
              <m:e>
                <m:r>
                  <w:rPr>
                    <w:sz w:val="20"/>
                    <w:szCs w:val="20"/>
                    <w:lang w:val="tr-TR" w:eastAsia="tr-TR"/>
                  </w:rPr>
                  <m:t>s</m:t>
                </m:r>
              </m:e>
              <m:sub>
                <m:r>
                  <w:rPr>
                    <w:sz w:val="20"/>
                    <w:szCs w:val="20"/>
                    <w:lang w:val="tr-TR" w:eastAsia="tr-TR"/>
                  </w:rPr>
                  <m:t>c</m:t>
                </m:r>
              </m:sub>
            </m:sSub>
          </m:num>
          <m:den>
            <m:nary>
              <m:naryPr>
                <m:chr m:val="∑"/>
                <m:limLoc m:val="undOvr"/>
                <m:grow m:val="1"/>
                <m:subHide m:val="off"/>
                <m:supHide m:val="on"/>
              </m:naryPr>
              <m:sub>
                <m:r>
                  <w:rPr>
                    <w:sz w:val="20"/>
                    <w:szCs w:val="20"/>
                    <w:lang w:val="tr-TR" w:eastAsia="tr-TR"/>
                  </w:rPr>
                  <m:t>c∈C</m:t>
                </m:r>
              </m:sub>
              <m:sup/>
              <m:e>
                <m:sSub>
                  <m:e>
                    <m:r>
                      <w:rPr>
                        <w:sz w:val="20"/>
                        <w:szCs w:val="20"/>
                        <w:lang w:val="tr-TR" w:eastAsia="tr-TR"/>
                      </w:rPr>
                      <m:t>w</m:t>
                    </m:r>
                  </m:e>
                  <m:sub>
                    <m:r>
                      <w:rPr>
                        <w:sz w:val="20"/>
                        <w:szCs w:val="20"/>
                        <w:lang w:val="tr-TR" w:eastAsia="tr-TR"/>
                      </w:rPr>
                      <m:t>c</m:t>
                    </m:r>
                  </m:sub>
                </m:sSub>
              </m:e>
            </m:nary>
            <m:sSub>
              <m:e>
                <m:r>
                  <w:rPr>
                    <w:sz w:val="20"/>
                    <w:szCs w:val="20"/>
                    <w:lang w:val="tr-TR" w:eastAsia="tr-TR"/>
                  </w:rPr>
                  <m:t>e</m:t>
                </m:r>
              </m:e>
              <m:sub>
                <m:r>
                  <w:rPr>
                    <w:sz w:val="20"/>
                    <w:szCs w:val="20"/>
                    <w:lang w:val="tr-TR" w:eastAsia="tr-TR"/>
                  </w:rPr>
                  <m:t>c</m:t>
                </m:r>
              </m:sub>
            </m:sSub>
          </m:den>
        </m:f>
      </m:oMath>
      <w:r>
        <w:rPr>
          <w:rFonts w:ascii="Times New Roman" w:hAnsi="Times New Roman" w:eastAsia="Times New Roman"/>
          <w:i w:val="0"/>
          <w:sz w:val="18"/>
          <w:lang w:val="tr-TR" w:eastAsia="tr-TR"/>
        </w:rPr>
        <w:br/>
      </w:r>
      <w:r>
        <w:rPr>
          <w:rFonts w:ascii="Times New Roman" w:hAnsi="Times New Roman" w:eastAsia="Times New Roman"/>
          <w:i w:val="0"/>
          <w:sz w:val="18"/>
          <w:lang w:val="tr-TR" w:eastAsia="tr-TR"/>
        </w:rPr>
        <w:t>Yalnızca etkin kontroller pay ve paydaya girer; disabled legacy kontroller CAC paydasından çıkarılır.</w:t>
      </w:r>
    </w:p>
    <w:p>
      <w:pPr>
        <w:pStyle w:val="BodyText"/>
        <w:spacing w:after="40"/>
        <w:ind w:firstLine="0" w:left="173"/>
      </w:pPr>
      <m:oMath>
        <m:r>
          <m:rPr>
            <m:sty m:val="p"/>
          </m:rPr>
          <w:rPr>
            <w:sz w:val="20"/>
            <w:szCs w:val="20"/>
            <w:lang w:val="tr-TR" w:eastAsia="tr-TR"/>
          </w:rPr>
          <m:t>MDC</m:t>
        </m:r>
        <m:r>
          <w:rPr>
            <w:sz w:val="20"/>
            <w:szCs w:val="20"/>
            <w:lang w:val="tr-TR" w:eastAsia="tr-TR"/>
          </w:rPr>
          <m:t>=100</m:t>
        </m:r>
        <m:f>
          <m:fPr>
            <m:type m:val="bar"/>
          </m:fPr>
          <m:num>
            <m:nary>
              <m:naryPr>
                <m:chr m:val="∑"/>
                <m:limLoc m:val="undOvr"/>
                <m:grow m:val="1"/>
                <m:subHide m:val="off"/>
                <m:supHide m:val="on"/>
              </m:naryPr>
              <m:sub>
                <m:r>
                  <w:rPr>
                    <w:sz w:val="20"/>
                    <w:szCs w:val="20"/>
                    <w:lang w:val="tr-TR" w:eastAsia="tr-TR"/>
                  </w:rPr>
                  <m:t>t∈</m:t>
                </m:r>
                <m:sSub>
                  <m:e>
                    <m:r>
                      <w:rPr>
                        <w:sz w:val="20"/>
                        <w:szCs w:val="20"/>
                        <w:lang w:val="tr-TR" w:eastAsia="tr-TR"/>
                      </w:rPr>
                      <m:t>T</m:t>
                    </m:r>
                  </m:e>
                  <m:sub>
                    <m:r>
                      <m:rPr>
                        <m:nor/>
                      </m:rPr>
                      <w:rPr>
                        <w:sz w:val="20"/>
                        <w:szCs w:val="20"/>
                        <w:lang w:val="tr-TR" w:eastAsia="tr-TR"/>
                      </w:rPr>
                      <m:t>scope</m:t>
                    </m:r>
                  </m:sub>
                </m:sSub>
              </m:sub>
              <m:sup/>
              <m:e>
                <m:sSub>
                  <m:e>
                    <m:r>
                      <w:rPr>
                        <w:sz w:val="20"/>
                        <w:szCs w:val="20"/>
                        <w:lang w:val="tr-TR" w:eastAsia="tr-TR"/>
                      </w:rPr>
                      <m:t>z</m:t>
                    </m:r>
                  </m:e>
                  <m:sub>
                    <m:r>
                      <w:rPr>
                        <w:sz w:val="20"/>
                        <w:szCs w:val="20"/>
                        <w:lang w:val="tr-TR" w:eastAsia="tr-TR"/>
                      </w:rPr>
                      <m:t>t</m:t>
                    </m:r>
                  </m:sub>
                </m:sSub>
              </m:e>
            </m:nary>
          </m:num>
          <m:den>
            <m:d>
              <m:dPr>
                <m:begChr m:val="|"/>
                <m:sepChr m:val=""/>
                <m:endChr m:val="|"/>
              </m:dPr>
              <m:e>
                <m:sSub>
                  <m:e>
                    <m:r>
                      <w:rPr>
                        <w:sz w:val="20"/>
                        <w:szCs w:val="20"/>
                        <w:lang w:val="tr-TR" w:eastAsia="tr-TR"/>
                      </w:rPr>
                      <m:t>T</m:t>
                    </m:r>
                  </m:e>
                  <m:sub>
                    <m:r>
                      <m:rPr>
                        <m:nor/>
                      </m:rPr>
                      <w:rPr>
                        <w:sz w:val="20"/>
                        <w:szCs w:val="20"/>
                        <w:lang w:val="tr-TR" w:eastAsia="tr-TR"/>
                      </w:rPr>
                      <m:t>scope</m:t>
                    </m:r>
                  </m:sub>
                </m:sSub>
              </m:e>
            </m:d>
          </m:den>
        </m:f>
      </m:oMath>
      <w:r>
        <w:rPr>
          <w:rFonts w:ascii="Times New Roman" w:hAnsi="Times New Roman" w:eastAsia="Times New Roman"/>
          <w:i w:val="0"/>
          <w:sz w:val="18"/>
          <w:lang w:val="tr-TR" w:eastAsia="tr-TR"/>
        </w:rPr>
        <w:br/>
      </w:r>
      <w:r>
        <w:rPr>
          <w:rFonts w:ascii="Times New Roman" w:hAnsi="Times New Roman" w:eastAsia="Times New Roman"/>
          <w:i w:val="0"/>
          <w:sz w:val="18"/>
          <w:lang w:val="tr-TR" w:eastAsia="tr-TR"/>
        </w:rPr>
        <w:t>MDC, beyan edilmiş kapsam içindeki tekniklerin sayısal kapanışıdır; yayımlanan priority alanı skor ağırlığı olarak kullanılmaz.</w:t>
      </w:r>
    </w:p>
    <w:p>
      <w:pPr>
        <w:pStyle w:val="BodyText"/>
        <w:spacing w:after="40"/>
        <w:ind w:firstLine="0" w:left="173"/>
      </w:pPr>
      <m:oMath>
        <m:r>
          <m:rPr>
            <m:sty m:val="p"/>
          </m:rPr>
          <w:rPr>
            <w:sz w:val="20"/>
            <w:szCs w:val="20"/>
            <w:lang w:val="tr-TR" w:eastAsia="tr-TR"/>
          </w:rPr>
          <m:t>CTIC</m:t>
        </m:r>
        <m:r>
          <w:rPr>
            <w:sz w:val="20"/>
            <w:szCs w:val="20"/>
            <w:lang w:val="tr-TR" w:eastAsia="tr-TR"/>
          </w:rPr>
          <m:t>=</m:t>
        </m:r>
        <m:f>
          <m:fPr>
            <m:type m:val="bar"/>
          </m:fPr>
          <m:num>
            <m:r>
              <w:rPr>
                <w:sz w:val="20"/>
                <w:szCs w:val="20"/>
                <w:lang w:val="tr-TR" w:eastAsia="tr-TR"/>
              </w:rPr>
              <m:t>100</m:t>
            </m:r>
          </m:num>
          <m:den>
            <m:r>
              <w:rPr>
                <w:sz w:val="20"/>
                <w:szCs w:val="20"/>
                <w:lang w:val="tr-TR" w:eastAsia="tr-TR"/>
              </w:rPr>
              <m:t>4|I|</m:t>
            </m:r>
          </m:den>
        </m:f>
        <m:nary>
          <m:naryPr>
            <m:chr m:val="∑"/>
            <m:limLoc m:val="undOvr"/>
            <m:grow m:val="1"/>
            <m:subHide m:val="off"/>
            <m:supHide m:val="on"/>
          </m:naryPr>
          <m:sub>
            <m:r>
              <w:rPr>
                <w:sz w:val="20"/>
                <w:szCs w:val="20"/>
                <w:lang w:val="tr-TR" w:eastAsia="tr-TR"/>
              </w:rPr>
              <m:t>i∈I</m:t>
            </m:r>
          </m:sub>
          <m:sup/>
          <m:e>
            <m:r>
              <w:rPr>
                <w:sz w:val="20"/>
                <w:szCs w:val="20"/>
                <w:lang w:val="tr-TR" w:eastAsia="tr-TR"/>
              </w:rPr>
              <m:t>(</m:t>
            </m:r>
          </m:e>
        </m:nary>
        <m:sSub>
          <m:e>
            <m:r>
              <w:rPr>
                <w:sz w:val="20"/>
                <w:szCs w:val="20"/>
                <w:lang w:val="tr-TR" w:eastAsia="tr-TR"/>
              </w:rPr>
              <m:t>q</m:t>
            </m:r>
          </m:e>
          <m:sub>
            <m:r>
              <w:rPr>
                <w:sz w:val="20"/>
                <w:szCs w:val="20"/>
                <w:lang w:val="tr-TR" w:eastAsia="tr-TR"/>
              </w:rPr>
              <m:t>i</m:t>
            </m:r>
          </m:sub>
        </m:sSub>
        <m:r>
          <w:rPr>
            <w:sz w:val="20"/>
            <w:szCs w:val="20"/>
            <w:lang w:val="tr-TR" w:eastAsia="tr-TR"/>
          </w:rPr>
          <m:t>+</m:t>
        </m:r>
        <m:sSub>
          <m:e>
            <m:r>
              <w:rPr>
                <w:sz w:val="20"/>
                <w:szCs w:val="20"/>
                <w:lang w:val="tr-TR" w:eastAsia="tr-TR"/>
              </w:rPr>
              <m:t>h</m:t>
            </m:r>
          </m:e>
          <m:sub>
            <m:r>
              <w:rPr>
                <w:sz w:val="20"/>
                <w:szCs w:val="20"/>
                <w:lang w:val="tr-TR" w:eastAsia="tr-TR"/>
              </w:rPr>
              <m:t>i</m:t>
            </m:r>
          </m:sub>
        </m:sSub>
        <m:r>
          <w:rPr>
            <w:sz w:val="20"/>
            <w:szCs w:val="20"/>
            <w:lang w:val="tr-TR" w:eastAsia="tr-TR"/>
          </w:rPr>
          <m:t>+</m:t>
        </m:r>
        <m:sSub>
          <m:e>
            <m:r>
              <w:rPr>
                <w:sz w:val="20"/>
                <w:szCs w:val="20"/>
                <w:lang w:val="tr-TR" w:eastAsia="tr-TR"/>
              </w:rPr>
              <m:t>a</m:t>
            </m:r>
          </m:e>
          <m:sub>
            <m:r>
              <w:rPr>
                <w:sz w:val="20"/>
                <w:szCs w:val="20"/>
                <w:lang w:val="tr-TR" w:eastAsia="tr-TR"/>
              </w:rPr>
              <m:t>i</m:t>
            </m:r>
          </m:sub>
        </m:sSub>
        <m:r>
          <w:rPr>
            <w:sz w:val="20"/>
            <w:szCs w:val="20"/>
            <w:lang w:val="tr-TR" w:eastAsia="tr-TR"/>
          </w:rPr>
          <m:t>+</m:t>
        </m:r>
        <m:sSub>
          <m:e>
            <m:r>
              <w:rPr>
                <w:sz w:val="20"/>
                <w:szCs w:val="20"/>
                <w:lang w:val="tr-TR" w:eastAsia="tr-TR"/>
              </w:rPr>
              <m:t>m</m:t>
            </m:r>
          </m:e>
          <m:sub>
            <m:r>
              <w:rPr>
                <w:sz w:val="20"/>
                <w:szCs w:val="20"/>
                <w:lang w:val="tr-TR" w:eastAsia="tr-TR"/>
              </w:rPr>
              <m:t>i</m:t>
            </m:r>
          </m:sub>
        </m:sSub>
        <m:r>
          <w:rPr>
            <w:sz w:val="20"/>
            <w:szCs w:val="20"/>
            <w:lang w:val="tr-TR" w:eastAsia="tr-TR"/>
          </w:rPr>
          <m:t>)</m:t>
        </m:r>
      </m:oMath>
      <w:r>
        <w:rPr>
          <w:rFonts w:ascii="Times New Roman" w:hAnsi="Times New Roman" w:eastAsia="Times New Roman"/>
          <w:i w:val="0"/>
          <w:sz w:val="18"/>
          <w:lang w:val="tr-TR" w:eastAsia="tr-TR"/>
        </w:rPr>
        <w:br/>
      </w:r>
      <w:r>
        <w:rPr>
          <w:rFonts w:ascii="Times New Roman" w:hAnsi="Times New Roman" w:eastAsia="Times New Roman"/>
          <w:i w:val="0"/>
          <w:sz w:val="18"/>
          <w:lang w:val="tr-TR" w:eastAsia="tr-TR"/>
        </w:rPr>
        <w:t>Bayraklar sırasıyla lookup icrası, MISP eşleşmesi, Wazuh alarmı ve ATT&amp;CK eşlemesidir. Lookup bayrağının beklenti alanından başlatılması bağımsız sorgu-icrası kanıtı değildir.</w:t>
      </w:r>
    </w:p>
    <w:p>
      <w:pPr>
        <w:pStyle w:val="BodyText"/>
        <w:spacing w:after="40"/>
        <w:ind w:firstLine="0" w:left="173"/>
      </w:pPr>
      <m:oMath>
        <m:r>
          <m:rPr>
            <m:sty m:val="p"/>
          </m:rPr>
          <w:rPr>
            <w:sz w:val="20"/>
            <w:szCs w:val="20"/>
            <w:lang w:val="tr-TR" w:eastAsia="tr-TR"/>
          </w:rPr>
          <m:t>TF</m:t>
        </m:r>
        <m:r>
          <w:rPr>
            <w:sz w:val="20"/>
            <w:szCs w:val="20"/>
            <w:lang w:val="tr-TR" w:eastAsia="tr-TR"/>
          </w:rPr>
          <m:t>(Δ,E)={</m:t>
        </m:r>
        <m:m>
          <m:mPr>
            <m:baseJc m:val="center"/>
            <m:plcHide m:val="on"/>
            <m:mcs>
              <m:mc>
                <m:mcPr>
                  <m:count m:val="2"/>
                  <m:mcJc m:val="center"/>
                </m:mcPr>
              </m:mc>
            </m:mcs>
          </m:mPr>
          <m:mr>
            <m:e>
              <m:r>
                <w:rPr>
                  <w:sz w:val="20"/>
                  <w:szCs w:val="20"/>
                  <w:lang w:val="tr-TR" w:eastAsia="tr-TR"/>
                </w:rPr>
                <m:t>100</m:t>
              </m:r>
            </m:e>
            <m:e>
              <m:r>
                <w:rPr>
                  <w:sz w:val="20"/>
                  <w:szCs w:val="20"/>
                  <w:lang w:val="tr-TR" w:eastAsia="tr-TR"/>
                </w:rPr>
                <m:t>E=1∧Δ≤60</m:t>
              </m:r>
            </m:e>
          </m:mr>
          <m:mr>
            <m:e>
              <m:r>
                <w:rPr>
                  <w:sz w:val="20"/>
                  <w:szCs w:val="20"/>
                  <w:lang w:val="tr-TR" w:eastAsia="tr-TR"/>
                </w:rPr>
                <m:t>80</m:t>
              </m:r>
            </m:e>
            <m:e>
              <m:r>
                <w:rPr>
                  <w:sz w:val="20"/>
                  <w:szCs w:val="20"/>
                  <w:lang w:val="tr-TR" w:eastAsia="tr-TR"/>
                </w:rPr>
                <m:t>E=1∧60&lt;Δ≤1440</m:t>
              </m:r>
            </m:e>
          </m:mr>
          <m:mr>
            <m:e>
              <m:r>
                <w:rPr>
                  <w:sz w:val="20"/>
                  <w:szCs w:val="20"/>
                  <w:lang w:val="tr-TR" w:eastAsia="tr-TR"/>
                </w:rPr>
                <m:t>50</m:t>
              </m:r>
            </m:e>
            <m:e>
              <m:r>
                <w:rPr>
                  <w:sz w:val="20"/>
                  <w:szCs w:val="20"/>
                  <w:lang w:val="tr-TR" w:eastAsia="tr-TR"/>
                </w:rPr>
                <m:t>E=1∧Δ&gt;1440</m:t>
              </m:r>
            </m:e>
          </m:mr>
          <m:mr>
            <m:e>
              <m:r>
                <w:rPr>
                  <w:sz w:val="20"/>
                  <w:szCs w:val="20"/>
                  <w:lang w:val="tr-TR" w:eastAsia="tr-TR"/>
                </w:rPr>
                <m:t>0</m:t>
              </m:r>
            </m:e>
            <m:e>
              <m:r>
                <w:rPr>
                  <w:sz w:val="20"/>
                  <w:szCs w:val="20"/>
                  <w:lang w:val="tr-TR" w:eastAsia="tr-TR"/>
                </w:rPr>
                <m:t>E=0</m:t>
              </m:r>
            </m:e>
          </m:mr>
        </m:m>
      </m:oMath>
      <w:r>
        <w:rPr>
          <w:rFonts w:ascii="Times New Roman" w:hAnsi="Times New Roman" w:eastAsia="Times New Roman"/>
          <w:i w:val="0"/>
          <w:sz w:val="18"/>
          <w:lang w:val="tr-TR" w:eastAsia="tr-TR"/>
        </w:rPr>
        <w:br/>
      </w:r>
      <w:r>
        <w:rPr>
          <w:rFonts w:ascii="Times New Roman" w:hAnsi="Times New Roman" w:eastAsia="Times New Roman"/>
          <w:i w:val="0"/>
          <w:sz w:val="18"/>
          <w:lang w:val="tr-TR" w:eastAsia="tr-TR"/>
        </w:rPr>
        <w:t>E en az bir olayın varlığını, Δ ise skor zamanı ile tüm kaynaklar içindeki en yeni olay arasındaki dakika farkını gösterir. TF kaynak başına tazelik ölçmez.</w:t>
      </w:r>
    </w:p>
    <w:p>
      <w:pPr>
        <w:pStyle w:val="Heading2"/>
        <w:spacing w:before="120" w:after="60"/>
        <w:ind w:firstLine="0"/>
        <w:jc w:val="left"/>
      </w:pPr>
      <w:r>
        <w:rPr>
          <w:rFonts w:ascii="Times New Roman" w:hAnsi="Times New Roman" w:eastAsia="Times New Roman"/>
          <w:b/>
          <w:i w:val="0"/>
          <w:sz w:val="20"/>
          <w:lang w:val="tr-TR" w:eastAsia="tr-TR"/>
        </w:rPr>
        <w:t>C. Matematiksel Tanımlar ve Ölçüm Dayanağı</w:t>
      </w:r>
    </w:p>
    <w:p>
      <w:pPr>
        <w:pStyle w:val="BodyText"/>
        <w:spacing w:before="0" w:after="60" w:line="240" w:lineRule="auto"/>
        <w:ind w:firstLine="259"/>
      </w:pPr>
      <w:r>
        <w:rPr>
          <w:rFonts w:ascii="Times New Roman" w:hAnsi="Times New Roman" w:eastAsia="Times New Roman"/>
          <w:b w:val="0"/>
          <w:i w:val="0"/>
          <w:lang w:val="tr-TR" w:eastAsia="tr-TR"/>
        </w:rPr>
        <w:t>SACI, CWLC, CAC, MDC, CTIC ve TF eşitlikleri önceki bir çalışmadan alınmış hazır risk formülleri değil, bu araştırma için tanımlanan kapsam-sınırlı operasyonel ölçütlerdir. Pay ve paydaların ayrı gösterilmesi; ölçülebilir kapsamı, etkin kontrol durumunu ve gözlenen kanıtı denetlenebilir biçimde ayırır. Bu tasarım, bilgi güvenliği ölçülerinin amaç, kapsam, veri kaynağı, hesaplama yöntemi ve yorum sınırlarıyla birlikte tanımlanmasını öneren NIST SP 800-55 Cilt 1 ve Cilt 2 ile; izleme, ölçme, analiz ve değerlendirme yaklaşımını tanımlayan ISO/IEC 27004:2016 ile yöntemsel olarak uyumludur [26]–[28]. Bununla birlikte bu kaynaklar SACI ağırlıklarını veya tazelik eşiklerini belirlemez: 0.30/0.25/0.20/0.15/0.10 ağırlıkları ve TF kademeleri bu çalışmanın açık tasarım parametreleridir. Ağırlıklı toplam, kanıt kapanışını yorumlanabilir tek bir endekste özetler; olasılık, kayıp beklentisi, saldırı riski ya da tespit doğruluğu tahmini değildir.</w:t>
      </w:r>
    </w:p>
    <w:p>
      <w:pPr>
        <w:pStyle w:val="Heading2"/>
        <w:spacing w:before="120" w:after="60"/>
        <w:ind w:firstLine="0"/>
        <w:jc w:val="left"/>
      </w:pPr>
      <w:r>
        <w:rPr>
          <w:rFonts w:ascii="Times New Roman" w:hAnsi="Times New Roman" w:eastAsia="Times New Roman"/>
          <w:b/>
          <w:i w:val="0"/>
          <w:sz w:val="20"/>
          <w:lang w:val="tr-TR" w:eastAsia="tr-TR"/>
        </w:rPr>
        <w:t>D. Açıklanabilirlik Katmanı</w:t>
      </w:r>
    </w:p>
    <w:p>
      <w:pPr>
        <w:pStyle w:val="BodyText"/>
        <w:spacing w:before="0" w:after="60" w:line="240" w:lineRule="auto"/>
        <w:ind w:firstLine="259"/>
      </w:pPr>
      <w:r>
        <w:rPr>
          <w:rFonts w:ascii="Times New Roman" w:hAnsi="Times New Roman" w:eastAsia="Times New Roman"/>
          <w:b w:val="0"/>
          <w:i w:val="0"/>
          <w:lang w:val="tr-TR" w:eastAsia="tr-TR"/>
        </w:rPr>
        <w:t>Açıklanabilirlik katmanı, bileşen skorlarını bunları üreten varlık, kaynak, kontrol, kural, teknik ve CTI ilişkileriyle birlikte sunar. reason-code mekanizması kapanmayan bir bileşen için deterministik açıklama üretebilir; böylece sonuç yalnızca tek bir toplam puana indirgenmez.</w:t>
      </w:r>
    </w:p>
    <w:p>
      <w:pPr>
        <w:pStyle w:val="BodyText"/>
        <w:spacing w:before="0" w:after="60" w:line="240" w:lineRule="auto"/>
        <w:ind w:firstLine="259"/>
      </w:pPr>
      <w:r>
        <w:rPr>
          <w:rFonts w:ascii="Times New Roman" w:hAnsi="Times New Roman" w:eastAsia="Times New Roman"/>
          <w:b w:val="0"/>
          <w:i w:val="0"/>
          <w:lang w:val="tr-TR" w:eastAsia="tr-TR"/>
        </w:rPr>
        <w:t>Nihai reason-code çıktısının boş olması, bu çalıştırmada betiklenmiş bir skor boşluğu oluşmadığını gösterir; açıklama mekanizmasının veya veri-bütünlüğü sınırlamalarının bulunmadığı anlamına gelmez. Sayısal sonuç LLM tarafından üretilmez; doğal dil katmanı yalnızca doğrulanmış tablo ve graf kanıtını özetleyebilir.</w:t>
      </w:r>
    </w:p>
    <w:p>
      <w:pPr>
        <w:pStyle w:val="Heading2"/>
        <w:spacing w:before="120" w:after="60"/>
        <w:ind w:firstLine="0"/>
        <w:jc w:val="left"/>
      </w:pPr>
      <w:r>
        <w:rPr>
          <w:rFonts w:ascii="Times New Roman" w:hAnsi="Times New Roman" w:eastAsia="Times New Roman"/>
          <w:b/>
          <w:i w:val="0"/>
          <w:sz w:val="20"/>
          <w:lang w:val="tr-TR" w:eastAsia="tr-TR"/>
        </w:rPr>
        <w:t>E. Skorlama Süreci</w:t>
      </w:r>
    </w:p>
    <w:p>
      <w:pPr>
        <w:pStyle w:val="BodyText"/>
        <w:spacing w:before="0" w:after="60" w:line="240" w:lineRule="auto"/>
        <w:ind w:firstLine="259"/>
      </w:pPr>
      <w:r>
        <w:rPr>
          <w:rFonts w:ascii="Times New Roman" w:hAnsi="Times New Roman" w:eastAsia="Times New Roman"/>
          <w:b w:val="0"/>
          <w:i w:val="0"/>
          <w:lang w:val="tr-TR" w:eastAsia="tr-TR"/>
        </w:rPr>
        <w:t>İşlem hattı beklenen kapsamı tanımlar, türetilmiş gözlem tablolarını oluşturur, beş bileşeni hesaplar, tiplenmiş grafı üretir ve sonuçları bütünlük denetimiyle birlikte yayımlar. Yayımlanan skorlayıcı aktif metrikleri normalize eder; graf oluşturucu aynı kapsam tablolarından izlenebilir ilişki satırları türetir.</w:t>
      </w:r>
    </w:p>
    <w:p>
      <w:pPr>
        <w:pStyle w:val="BodyText"/>
        <w:spacing w:after="40"/>
        <w:ind w:firstLine="0" w:left="173"/>
      </w:pPr>
      <w:r>
        <w:rPr>
          <w:rFonts w:ascii="Times New Roman" w:hAnsi="Times New Roman" w:eastAsia="Times New Roman"/>
          <w:b/>
          <w:i w:val="0"/>
          <w:sz w:val="18"/>
          <w:lang w:val="tr-TR" w:eastAsia="tr-TR"/>
        </w:rPr>
        <w:t>Adım 1: Altı varlık ve bunlara ait beklenen varlık-log kaynağı çiftleriyle değerlendirme kapsamını tanımla.</w:t>
      </w:r>
    </w:p>
    <w:p>
      <w:pPr>
        <w:pStyle w:val="BodyText"/>
        <w:spacing w:after="40"/>
        <w:ind w:firstLine="0" w:left="173"/>
      </w:pPr>
      <w:r>
        <w:rPr>
          <w:rFonts w:ascii="Times New Roman" w:hAnsi="Times New Roman" w:eastAsia="Times New Roman"/>
          <w:b/>
          <w:i w:val="0"/>
          <w:sz w:val="18"/>
          <w:lang w:val="tr-TR" w:eastAsia="tr-TR"/>
        </w:rPr>
        <w:t>Adım 2: Log kaynağı, etkin kontrol, ATT&amp;CK tekniği ve iki sentetik IOC için gözlem/bayrak tablolarını oluştur.</w:t>
      </w:r>
    </w:p>
    <w:p>
      <w:pPr>
        <w:pStyle w:val="BodyText"/>
        <w:spacing w:after="40"/>
        <w:ind w:firstLine="0" w:left="173"/>
      </w:pPr>
      <w:r>
        <w:rPr>
          <w:rFonts w:ascii="Times New Roman" w:hAnsi="Times New Roman" w:eastAsia="Times New Roman"/>
          <w:b/>
          <w:i w:val="0"/>
          <w:sz w:val="18"/>
          <w:lang w:val="tr-TR" w:eastAsia="tr-TR"/>
        </w:rPr>
        <w:t>Adım 3: CWLC, CAC, MDC, CTIC ve TF bileşenlerini uygulanmış formüllerle hesapla.</w:t>
      </w:r>
    </w:p>
    <w:p>
      <w:pPr>
        <w:pStyle w:val="BodyText"/>
        <w:spacing w:after="40"/>
        <w:ind w:firstLine="0" w:left="173"/>
      </w:pPr>
      <w:r>
        <w:rPr>
          <w:rFonts w:ascii="Times New Roman" w:hAnsi="Times New Roman" w:eastAsia="Times New Roman"/>
          <w:b/>
          <w:i w:val="0"/>
          <w:sz w:val="18"/>
          <w:lang w:val="tr-TR" w:eastAsia="tr-TR"/>
        </w:rPr>
        <w:t>Adım 4: Düğüm ve ilişki satırlarını üret; observed durumunu ve kanıt kökeni alanlarını taşı.</w:t>
      </w:r>
    </w:p>
    <w:p>
      <w:pPr>
        <w:pStyle w:val="BodyText"/>
        <w:spacing w:after="40"/>
        <w:ind w:firstLine="0" w:left="173"/>
      </w:pPr>
      <w:r>
        <w:rPr>
          <w:rFonts w:ascii="Times New Roman" w:hAnsi="Times New Roman" w:eastAsia="Times New Roman"/>
          <w:b/>
          <w:i w:val="0"/>
          <w:sz w:val="18"/>
          <w:lang w:val="tr-TR" w:eastAsia="tr-TR"/>
        </w:rPr>
        <w:t>Adım 5: Uç referanslarını, benzersiz üçlüleri, izole düğümleri, eşleme tutarlılığını ve reason-code çıktısını denetle.</w:t>
      </w:r>
    </w:p>
    <w:p>
      <w:pPr>
        <w:pStyle w:val="BodyText"/>
        <w:spacing w:after="40"/>
        <w:ind w:firstLine="0" w:left="173"/>
      </w:pPr>
      <w:r>
        <w:rPr>
          <w:rFonts w:ascii="Times New Roman" w:hAnsi="Times New Roman" w:eastAsia="Times New Roman"/>
          <w:b/>
          <w:i w:val="0"/>
          <w:sz w:val="18"/>
          <w:lang w:val="tr-TR" w:eastAsia="tr-TR"/>
        </w:rPr>
        <w:t>Adım 6: Aktif ağırlıkları yeniden normalize ederek SACI skorunu ve makinece okunabilir araştırma ekini yayımla.</w:t>
      </w:r>
    </w:p>
    <w:p>
      <w:pPr>
        <w:pStyle w:val="Heading1"/>
        <w:spacing w:before="120" w:after="60"/>
        <w:ind w:firstLine="0"/>
        <w:jc w:val="center"/>
      </w:pPr>
      <w:r>
        <w:rPr>
          <w:rFonts w:ascii="Times New Roman" w:hAnsi="Times New Roman" w:eastAsia="Times New Roman"/>
          <w:b/>
          <w:i w:val="0"/>
          <w:sz w:val="20"/>
          <w:lang w:val="tr-TR" w:eastAsia="tr-TR"/>
        </w:rPr>
        <w:t>IV. KONTROLLÜ LABORATUVAR KURULUMU VE VERİ HATTI</w:t>
      </w:r>
    </w:p>
    <w:p>
      <w:pPr>
        <w:pStyle w:val="BodyText"/>
        <w:spacing w:before="0" w:after="60" w:line="240" w:lineRule="auto"/>
        <w:ind w:firstLine="259"/>
      </w:pPr>
      <w:r>
        <w:rPr>
          <w:rFonts w:ascii="Times New Roman" w:hAnsi="Times New Roman" w:eastAsia="Times New Roman"/>
          <w:b w:val="0"/>
          <w:i w:val="0"/>
          <w:lang w:val="tr-TR" w:eastAsia="tr-TR"/>
        </w:rPr>
        <w:t>Deney ortamı, yayımlanan envanterde aynı 192.168.1.x adres uzayında tanımlanan altı mantıksal varlıktan oluşur. Topoloji, telemetri üreten uçları merkezi Wazuh toplama ve tespit katmanına; buradan ATT&amp;CK, MISP ve SACI kanıt ilişkilerine bağlar.</w:t>
      </w:r>
    </w:p>
    <w:p>
      <w:pPr>
        <w:pStyle w:val="BodyText"/>
        <w:spacing w:after="40"/>
        <w:ind w:firstLine="0" w:left="173"/>
      </w:pPr>
      <w:r>
        <w:rPr>
          <w:rFonts w:ascii="Times New Roman" w:hAnsi="Times New Roman" w:eastAsia="Times New Roman"/>
          <w:b/>
          <w:i w:val="0"/>
          <w:sz w:val="18"/>
          <w:lang w:val="tr-TR" w:eastAsia="tr-TR"/>
        </w:rPr>
        <w:t>WSIEM (192.168.1.100): merkezi Wazuh toplama, decoder/kural değerlendirme, alarm üretimi ve özel MISP entegrasyon kanıtı.</w:t>
      </w:r>
    </w:p>
    <w:p>
      <w:pPr>
        <w:pStyle w:val="BodyText"/>
        <w:spacing w:after="40"/>
        <w:ind w:firstLine="0" w:left="173"/>
      </w:pPr>
      <w:r>
        <w:rPr>
          <w:rFonts w:ascii="Times New Roman" w:hAnsi="Times New Roman" w:eastAsia="Times New Roman"/>
          <w:b/>
          <w:i w:val="0"/>
          <w:sz w:val="18"/>
          <w:lang w:val="tr-TR" w:eastAsia="tr-TR"/>
        </w:rPr>
        <w:t>DC01 (192.168.1.10): Windows Security ve Sysmon; WS01 (192.168.1.111): Security, Sysmon ve PowerShell telemetrisi.</w:t>
      </w:r>
    </w:p>
    <w:p>
      <w:pPr>
        <w:pStyle w:val="BodyText"/>
        <w:spacing w:after="40"/>
        <w:ind w:firstLine="0" w:left="173"/>
      </w:pPr>
      <w:r>
        <w:rPr>
          <w:rFonts w:ascii="Times New Roman" w:hAnsi="Times New Roman" w:eastAsia="Times New Roman"/>
          <w:b/>
          <w:i w:val="0"/>
          <w:sz w:val="18"/>
          <w:lang w:val="tr-TR" w:eastAsia="tr-TR"/>
        </w:rPr>
        <w:t>uhost (192.168.1.121): Ubuntu authlog, syslog ve süreç telemetrisi.</w:t>
      </w:r>
    </w:p>
    <w:p>
      <w:pPr>
        <w:pStyle w:val="BodyText"/>
        <w:spacing w:after="40"/>
        <w:ind w:firstLine="0" w:left="173"/>
      </w:pPr>
      <w:r>
        <w:rPr>
          <w:rFonts w:ascii="Times New Roman" w:hAnsi="Times New Roman" w:eastAsia="Times New Roman"/>
          <w:b/>
          <w:i w:val="0"/>
          <w:sz w:val="18"/>
          <w:lang w:val="tr-TR" w:eastAsia="tr-TR"/>
        </w:rPr>
        <w:t>FW01-PFSENSE (192.168.1.1): güvenlik duvarı ve pfSense syslog olayları.</w:t>
      </w:r>
    </w:p>
    <w:p>
      <w:pPr>
        <w:pStyle w:val="BodyText"/>
        <w:spacing w:after="40"/>
        <w:ind w:firstLine="0" w:left="173"/>
      </w:pPr>
      <w:r>
        <w:rPr>
          <w:rFonts w:ascii="Times New Roman" w:hAnsi="Times New Roman" w:eastAsia="Times New Roman"/>
          <w:b/>
          <w:i w:val="0"/>
          <w:sz w:val="18"/>
          <w:lang w:val="tr-TR" w:eastAsia="tr-TR"/>
        </w:rPr>
        <w:t>CTI01 (192.168.1.101): MISP API, IOC ve zenginleştirme kanıtı.</w:t>
      </w:r>
    </w:p>
    <w:p>
      <w:pPr>
        <w:pStyle w:val="BodyText"/>
        <w:spacing w:after="40"/>
        <w:ind w:firstLine="0" w:left="173"/>
      </w:pPr>
      <w:r>
        <w:rPr>
          <w:rFonts w:ascii="Times New Roman" w:hAnsi="Times New Roman" w:eastAsia="Times New Roman"/>
          <w:b/>
          <w:i w:val="0"/>
          <w:sz w:val="18"/>
          <w:lang w:val="tr-TR" w:eastAsia="tr-TR"/>
        </w:rPr>
        <w:t>Değerlendirme evreni: 6 varlık, 12 varlık-log çifti, 27 kontrol satırı, 25 etkin kontrol, 13 kapsam içi ATT&amp;CK tekniği ve 2 sentetik IOC.</w:t>
      </w:r>
    </w:p>
    <w:p>
      <w:pPr>
        <w:pStyle w:val="Heading2"/>
        <w:spacing w:before="120" w:after="60"/>
        <w:ind w:firstLine="0"/>
        <w:jc w:val="left"/>
      </w:pPr>
      <w:r>
        <w:rPr>
          <w:rFonts w:ascii="Times New Roman" w:hAnsi="Times New Roman" w:eastAsia="Times New Roman"/>
          <w:b/>
          <w:i w:val="0"/>
          <w:sz w:val="20"/>
          <w:lang w:val="tr-TR" w:eastAsia="tr-TR"/>
        </w:rPr>
        <w:t>A. Doğrulanmış Topoloji ve Kurulum Sınırı</w:t>
      </w:r>
    </w:p>
    <w:p>
      <w:pPr>
        <w:pStyle w:val="BodyText"/>
        <w:spacing w:before="0" w:after="60" w:line="240" w:lineRule="auto"/>
        <w:ind w:firstLine="259"/>
      </w:pPr>
      <w:r>
        <w:rPr>
          <w:rFonts w:ascii="Times New Roman" w:hAnsi="Times New Roman" w:eastAsia="Times New Roman"/>
          <w:b w:val="0"/>
          <w:i w:val="0"/>
          <w:lang w:val="tr-TR" w:eastAsia="tr-TR"/>
        </w:rPr>
        <w:t>Yayın paketi ortam provisioning betiği içermediğinden laboratuvar kurulumu iki düzeyde raporlanır: yayımlanan varlık, log ve yol kanıtları doğrulanmış deney topolojisini; resmî ürün kılavuzları ise yeniden kurulum için izlenecek teknik adımları tanımlar. WSIEM merkezi Wazuh düğümüdür. Wazuh'un resmî tek-düğüm hızlı kurulum modeli sunucu, indeksleyici ve gösterge paneli bileşenlerini açıklar; ancak bu bileşenlerin laboratuvarda aynı ana makinede bulunduğu veya belirli bir paket sürümünün kullanıldığı yayın paketinden doğrulanamaz [14].</w:t>
      </w:r>
    </w:p>
    <w:p>
      <w:pPr>
        <w:pStyle w:val="BodyText"/>
        <w:spacing w:before="0" w:after="60" w:line="240" w:lineRule="auto"/>
        <w:ind w:firstLine="259"/>
      </w:pPr>
      <w:r>
        <w:rPr>
          <w:rFonts w:ascii="Times New Roman" w:hAnsi="Times New Roman" w:eastAsia="Times New Roman"/>
          <w:b w:val="0"/>
          <w:i w:val="0"/>
          <w:lang w:val="tr-TR" w:eastAsia="tr-TR"/>
        </w:rPr>
        <w:t>DC01, WS01 ve uhost üzerindeki telemetri akışı Wazuh ajanı ve merkezi yönetici ilişkisiyle uyumludur. Yeniden kurulumda ajanların işletim sistemine göre kurulması ve benzersiz istemci anahtarlarıyla yöneticiye kaydedilmesi gerekir [15], [16]. Yayımlanan graf bu kaynakların Wazuh'a collected_by ilişkisiyle bağlandığını doğrular; buna karşılık gerçek ajan kurulum komutları, ossec.conf dosyaları, sertifikalar, hipervizör türü ve kesin ürün sürümleri yayımlanmamıştır.</w:t>
      </w:r>
    </w:p>
    <w:p>
      <w:pPr>
        <w:pStyle w:val="Heading2"/>
        <w:spacing w:before="120" w:after="60"/>
        <w:ind w:firstLine="0"/>
        <w:jc w:val="left"/>
      </w:pPr>
      <w:r>
        <w:rPr>
          <w:rFonts w:ascii="Times New Roman" w:hAnsi="Times New Roman" w:eastAsia="Times New Roman"/>
          <w:b/>
          <w:i w:val="0"/>
          <w:sz w:val="20"/>
          <w:lang w:val="tr-TR" w:eastAsia="tr-TR"/>
        </w:rPr>
        <w:t>B. Telemetri ve Entegrasyon Yapılandırması</w:t>
      </w:r>
    </w:p>
    <w:p>
      <w:pPr>
        <w:pStyle w:val="BodyText"/>
        <w:spacing w:before="0" w:after="60" w:line="240" w:lineRule="auto"/>
        <w:ind w:firstLine="259"/>
      </w:pPr>
      <w:r>
        <w:rPr>
          <w:rFonts w:ascii="Times New Roman" w:hAnsi="Times New Roman" w:eastAsia="Times New Roman"/>
          <w:b w:val="0"/>
          <w:i w:val="0"/>
          <w:lang w:val="tr-TR" w:eastAsia="tr-TR"/>
        </w:rPr>
        <w:t>Windows katmanında Security, Microsoft-Windows-Sysmon/Operational ve Microsoft-Windows-PowerShell/Operational kanalları izlenmiştir. Wazuh bu kanalları eventchannel kaynakları olarak toplayabilir [17]; Sysmon XML yapılandırması süreç, ağ ve DNS görünürlüğünü, PowerShell Script Block Logging ise komut içeriğini Operational kanalında üretir [22], [23]. Linux tarafında authlog, syslog ve süreç kanıtı; ağ katmanında pfSense uzak syslog kanıtı gözlenmiştir. Netgate kılavuzu uzak syslog yapılandırmasını açıklar ve korumasız UDP aktarımının şifresiz olduğunu belirtir [21]. Paket, kullanılan Sysmon XML'ini, PowerShell ilke ayarlarını, Linux forwarder yapılandırmasını veya pfSense taşıma protokolünü korumadığından bu ayrıntılar doğrulanmış kurulum gerçeği olarak sunulamaz.</w:t>
      </w:r>
    </w:p>
    <w:p>
      <w:pPr>
        <w:pStyle w:val="BodyText"/>
        <w:spacing w:before="0" w:after="60" w:line="240" w:lineRule="auto"/>
        <w:ind w:firstLine="259"/>
      </w:pPr>
      <w:r>
        <w:rPr>
          <w:rFonts w:ascii="Times New Roman" w:hAnsi="Times New Roman" w:eastAsia="Times New Roman"/>
          <w:b w:val="0"/>
          <w:i w:val="0"/>
          <w:lang w:val="tr-TR" w:eastAsia="tr-TR"/>
        </w:rPr>
        <w:t>CTI01, MISP API ve iki sentetik IOC kaydıyla tehdit istihbaratı katmanını sağlar. Resmî MISP kılavuzları desteklenen GNU/Linux kurulum akışlarını ve API tabanlı kullanım modelini verir [19], [20]. Laboratuvar grafında Wazuh özel MISP entegrasyonunu tetikler, entegrasyon MISP'i sorgular, IOC eşleşmesini Wazuh alarmına dönüştürür ve ATT&amp;CK bağlamına taşır. Bu desen Wazuh'un Integrator ve dış API bağlayıcılarıyla uyumludur [18]. Bununla birlikte MISP sürümü, kurulum yöntemi, API uç noktası, kimlik bilgileri ve özel bağlayıcı yapılandırması yayımlanmamıştır.</w:t>
      </w:r>
    </w:p>
    <w:p>
      <w:pPr>
        <w:pStyle w:val="Heading2"/>
        <w:spacing w:before="120" w:after="60"/>
        <w:ind w:firstLine="0"/>
        <w:jc w:val="left"/>
      </w:pPr>
      <w:r>
        <w:rPr>
          <w:rFonts w:ascii="Times New Roman" w:hAnsi="Times New Roman" w:eastAsia="Times New Roman"/>
          <w:b/>
          <w:i w:val="0"/>
          <w:sz w:val="20"/>
          <w:lang w:val="tr-TR" w:eastAsia="tr-TR"/>
        </w:rPr>
        <w:t>C. Araçların ve Teknolojilerin İşlevsel Rolleri</w:t>
      </w:r>
    </w:p>
    <w:p>
      <w:pPr>
        <w:pStyle w:val="BodyText"/>
        <w:spacing w:before="0" w:after="60" w:line="240" w:lineRule="auto"/>
        <w:ind w:firstLine="259"/>
      </w:pPr>
      <w:r>
        <w:rPr>
          <w:rFonts w:ascii="Times New Roman" w:hAnsi="Times New Roman" w:eastAsia="Times New Roman"/>
          <w:b w:val="0"/>
          <w:i w:val="0"/>
          <w:lang w:val="tr-TR" w:eastAsia="tr-TR"/>
        </w:rPr>
        <w:t>Wazuh; uçlardan olay toplama, decoder/kural değerlendirme, alarm üretme ve ATT&amp;CK eşleme katmanıdır [14]–[18]. Sysmon, Windows Security günlüklerinin ötesinde süreç oluşturma, ağ bağlantısı ve DNS gibi yüksek ayrıntılı olaylar üretir; PowerShell günlükleme komut ve betik içeriğini görünür kılar [22], [23]. pfSense ağ/güvenlik duvarı olaylarını uzak syslog ile sağlar [21]. MISP, IOC ve bağlamsal tehdit istihbaratını saklama, sorgulama ve API ile paylaşma rolündedir [19], [20]. Ansible ve WinRM, Windows senaryolarının uzaktan ve tekrarlanabilir biçimde yürütülmesini sağlar [24]. ATT&amp;CK teknik taksonomisini, STIX tehdit istihbaratı nesnelerinin makinece okunabilir temsilini, TAXII ise bu içeriğin uygulama katmanında değişimini sağlar [25], [29], [30]. Python betikleri deterministik skor ve graf üretimini yürütür; CYJS çıktısı Cytoscape.js ile etkileşimli graf incelemesine, Mermaid çıktısı ise metin tabanlı ve sürüm denetimine uygun diyagram üretimine hizmet eder [31], [32].</w:t>
      </w:r>
    </w:p>
    <w:p>
      <w:pPr>
        <w:pStyle w:val="Heading2"/>
        <w:spacing w:before="120" w:after="60"/>
        <w:ind w:firstLine="0"/>
        <w:jc w:val="left"/>
      </w:pPr>
      <w:r>
        <w:rPr>
          <w:rFonts w:ascii="Times New Roman" w:hAnsi="Times New Roman" w:eastAsia="Times New Roman"/>
          <w:b/>
          <w:i w:val="0"/>
          <w:sz w:val="20"/>
          <w:lang w:val="tr-TR" w:eastAsia="tr-TR"/>
        </w:rPr>
        <w:t>D. Kontrollü Senaryo Orkestrasyonu</w:t>
      </w:r>
    </w:p>
    <w:p>
      <w:pPr>
        <w:pStyle w:val="BodyText"/>
        <w:spacing w:before="0" w:after="60" w:line="240" w:lineRule="auto"/>
        <w:ind w:firstLine="259"/>
      </w:pPr>
      <w:r>
        <w:rPr>
          <w:rFonts w:ascii="Times New Roman" w:hAnsi="Times New Roman" w:eastAsia="Times New Roman"/>
          <w:b w:val="0"/>
          <w:i w:val="0"/>
          <w:lang w:val="tr-TR" w:eastAsia="tr-TR"/>
        </w:rPr>
        <w:t>Yayımlanan saldırı çalıştırıcısı yalnızca DC01/Windows yolunu yürütür. Betik /opt/windows-control dizininde inventory.ini envanterini kullanır ve Ansible win_shell modülüyle dc01 hedefine bağlanır. Windows yönetimi için Ansible, WinRM ve uygun kimlik doğrulama/şifreleme yapılandırmasına dayanır [24]. Çalıştırıcı Wazuh ana makinesinde zararsız bir Python HTTP sunucusu açar; hesap, etki alanı, ağ ve paylaşım keşfi, DNS IOC sorgusu ve zararsız dosya aktarımı davranışlarını üretir. Her komut senaryo, ATT&amp;CK, kural ve dönüş kodu alanlarıyla JSONL biçiminde kaydedilir.</w:t>
      </w:r>
    </w:p>
    <w:p>
      <w:pPr>
        <w:pStyle w:val="BodyText"/>
        <w:spacing w:before="0" w:after="60" w:line="240" w:lineRule="auto"/>
        <w:ind w:firstLine="259"/>
      </w:pPr>
      <w:r>
        <w:rPr>
          <w:rFonts w:ascii="Times New Roman" w:hAnsi="Times New Roman" w:eastAsia="Times New Roman"/>
          <w:b w:val="0"/>
          <w:i w:val="0"/>
          <w:lang w:val="tr-TR" w:eastAsia="tr-TR"/>
        </w:rPr>
        <w:t>Çalıştırıcı son komuttan sonra Wazuh ingestion için 90 saniye bekler ve /var/ossec/logs/alerts/alerts.json içindeki ilgili özel kural kimliklerini denetler. Linux, pfSense ve CTI yolları için nihai kapsam ve alarm kanıtı yayımlanmıştır; ancak bu yolları kuran veya davranış üreten eşdeğer betikler araştırma ekinde bulunmaz. Bu nedenle deney, yayımlanan Windows/DC01 orkestrasyonu ile diğer bileşenlerin sonuç kanıtlarını aynı yeniden üretilebilirlik düzeyindeymiş gibi sunmaz.</w:t>
      </w:r>
    </w:p>
    <w:p>
      <w:pPr>
        <w:pStyle w:val="Heading2"/>
        <w:spacing w:before="120" w:after="60"/>
        <w:ind w:firstLine="0"/>
        <w:jc w:val="left"/>
      </w:pPr>
      <w:r>
        <w:rPr>
          <w:rFonts w:ascii="Times New Roman" w:hAnsi="Times New Roman" w:eastAsia="Times New Roman"/>
          <w:b/>
          <w:i w:val="0"/>
          <w:sz w:val="20"/>
          <w:lang w:val="tr-TR" w:eastAsia="tr-TR"/>
        </w:rPr>
        <w:t>E. Veri Toplama, Skorlama ve Yayın</w:t>
      </w:r>
    </w:p>
    <w:p>
      <w:pPr>
        <w:pStyle w:val="BodyText"/>
        <w:spacing w:before="0" w:after="60" w:line="240" w:lineRule="auto"/>
        <w:ind w:firstLine="259"/>
      </w:pPr>
      <w:r>
        <w:rPr>
          <w:rFonts w:ascii="Times New Roman" w:hAnsi="Times New Roman" w:eastAsia="Times New Roman"/>
          <w:b w:val="0"/>
          <w:i w:val="0"/>
          <w:lang w:val="tr-TR" w:eastAsia="tr-TR"/>
        </w:rPr>
        <w:t>Skorlama hattı Wazuh alarmlarını /var/ossec/logs/alerts/alerts.json, MISP zenginleştirme kayıtlarını /var/log/wazuh-misp/misp-enrichment.log, normalize senaryo olaylarını /var/log/saci/saci-scenario-events.log ve pfSense kanıtını /var/log/saci/pfsense-events.log yollarından okur. Varlık ve kaynak ilişkilendirmesi Wazuh agent adı/kimliği, sağlayıcı, kanal, olay konumu, kural kimliği ve ATT&amp;CK metaverisini kullanır. Kapsam envanteri, kontrol tanımları, teknik kapsam, IOC beklentileri ve ağırlıklar /opt/saci-lab/data altındaki CSV girdilerinden alınır.</w:t>
      </w:r>
    </w:p>
    <w:p>
      <w:pPr>
        <w:pStyle w:val="BodyText"/>
        <w:spacing w:before="0" w:after="60" w:line="240" w:lineRule="auto"/>
        <w:ind w:firstLine="259"/>
      </w:pPr>
      <w:r>
        <w:rPr>
          <w:rFonts w:ascii="Times New Roman" w:hAnsi="Times New Roman" w:eastAsia="Times New Roman"/>
          <w:b w:val="0"/>
          <w:i w:val="0"/>
          <w:lang w:val="tr-TR" w:eastAsia="tr-TR"/>
        </w:rPr>
        <w:t>Yayımlanan Python skorlayıcı bu girdilerden bileşen ve kapsam tablolarını, graf oluşturucu ise düğüm/kenar dosyaları ile CYJS ve Mermaid temsillerini türetir. ATT&amp;CK teknik kimlikleri resmî STIX/TAXII veri kaynaklarıyla doğrulanabilir [25]. Skor ve graf aynı türetilmiş tablolara dayandığından graf bağımsız bir doğrulama veri kümesi değil, skor kökenini izlenebilir kılan temsildir. Yayın paketi koşum betiği, reason-code dosyaları, özet, kaynak kod ve doğrulama manifestini içerir; portal bu değişmez artefaktların üzerine açıklayıcı bir görünüm ekler [13].</w:t>
      </w:r>
    </w:p>
    <w:p>
      <w:pPr>
        <w:pStyle w:val="Heading2"/>
        <w:spacing w:before="120" w:after="60"/>
        <w:ind w:firstLine="0"/>
        <w:jc w:val="left"/>
      </w:pPr>
      <w:r>
        <w:rPr>
          <w:rFonts w:ascii="Times New Roman" w:hAnsi="Times New Roman" w:eastAsia="Times New Roman"/>
          <w:b/>
          <w:i w:val="0"/>
          <w:sz w:val="20"/>
          <w:lang w:val="tr-TR" w:eastAsia="tr-TR"/>
        </w:rPr>
        <w:t>F. Tarihsel Duyarlılık Serisi</w:t>
      </w:r>
    </w:p>
    <w:p>
      <w:pPr>
        <w:pStyle w:val="BodyText"/>
        <w:spacing w:before="0" w:after="60" w:line="240" w:lineRule="auto"/>
        <w:ind w:firstLine="259"/>
      </w:pPr>
      <w:r>
        <w:rPr>
          <w:rFonts w:ascii="Times New Roman" w:hAnsi="Times New Roman" w:eastAsia="Times New Roman"/>
          <w:b w:val="0"/>
          <w:i w:val="0"/>
          <w:lang w:val="tr-TR" w:eastAsia="tr-TR"/>
        </w:rPr>
        <w:t>Nihai yayın anlık görüntüsü birincil sonuçtur. Ayrı S0-S18 serisi, SIEM kurulumundan tam kapanışa ve kritik/nonkritik telemetri, CTI, tazelik ile kural kayıplarına uzanan 20 deterministik duyarlılık senaryosu içerir. S7'nin A/B dalları nedeniyle 19 etiket altında 20 koşul bulunur. Tarihsel S8'in 95/173 grafı, farklı kapsam ve graf üretim hattı kullanan nihai 97/171 grafıyla birleştirilmez.</w:t>
      </w:r>
    </w:p>
    <w:p>
      <w:pPr>
        <w:pStyle w:val="Heading2"/>
        <w:spacing w:before="120" w:after="60"/>
        <w:ind w:firstLine="0"/>
        <w:jc w:val="left"/>
      </w:pPr>
      <w:r>
        <w:rPr>
          <w:rFonts w:ascii="Times New Roman" w:hAnsi="Times New Roman" w:eastAsia="Times New Roman"/>
          <w:b/>
          <w:i w:val="0"/>
          <w:sz w:val="20"/>
          <w:lang w:val="tr-TR" w:eastAsia="tr-TR"/>
        </w:rPr>
        <w:t>G. Kurulumun Yeniden Üretilebilirlik Sınırı</w:t>
      </w:r>
    </w:p>
    <w:p>
      <w:pPr>
        <w:pStyle w:val="BodyText"/>
        <w:spacing w:before="0" w:after="60" w:line="240" w:lineRule="auto"/>
        <w:ind w:firstLine="259"/>
      </w:pPr>
      <w:r>
        <w:rPr>
          <w:rFonts w:ascii="Times New Roman" w:hAnsi="Times New Roman" w:eastAsia="Times New Roman"/>
          <w:b w:val="0"/>
          <w:i w:val="0"/>
          <w:lang w:val="tr-TR" w:eastAsia="tr-TR"/>
        </w:rPr>
        <w:t>Yayımlanan artefaktlar laboratuvar rollerini, IP adreslerini, gözlenen veri yollarını, formülleri ve nihai çıktıları denetlemeye yeterlidir. Bununla birlikte Wazuh, MISP, pfSense, Sysmon, Windows ve Ubuntu sürümleri; ajan kayıt komutları; özel decoder/kural dosyaları; Sysmon XML'i; PowerShell ilkeleri; pfSense forwarding ayarları; MISP API yapılandırması; sanallaştırma topolojisi ve uçtan uca provisioning otomasyonu korunmamıştır. Bu makaledeki resmî kurulum kaynakları, doğrulanmamış ayrıntıları laboratuvar gerçeği olarak ileri sürmek yerine bağımsız yeniden kurulum için gerekli referans prosedürleri tanımlar.</w:t>
      </w:r>
    </w:p>
    <w:p>
      <w:pPr>
        <w:pStyle w:val="Heading1"/>
        <w:spacing w:before="120" w:after="60"/>
        <w:ind w:firstLine="0"/>
        <w:jc w:val="center"/>
      </w:pPr>
      <w:r>
        <w:rPr>
          <w:rFonts w:ascii="Times New Roman" w:hAnsi="Times New Roman" w:eastAsia="Times New Roman"/>
          <w:b/>
          <w:i w:val="0"/>
          <w:sz w:val="20"/>
          <w:lang w:val="tr-TR" w:eastAsia="tr-TR"/>
        </w:rPr>
        <w:t>V. FİNAL SONUÇLAR VE TARTIŞMA</w:t>
      </w:r>
    </w:p>
    <w:p>
      <w:pPr>
        <w:pStyle w:val="BodyText"/>
        <w:spacing w:before="0" w:after="60" w:line="240" w:lineRule="auto"/>
        <w:ind w:firstLine="259"/>
      </w:pPr>
      <w:r>
        <w:rPr>
          <w:rFonts w:ascii="Times New Roman" w:hAnsi="Times New Roman" w:eastAsia="Times New Roman"/>
          <w:b w:val="0"/>
          <w:i w:val="0"/>
          <w:lang w:val="tr-TR" w:eastAsia="tr-TR"/>
        </w:rPr>
        <w:t>Nihai değerlendirmede 6 varlık için 12/12 varlık-log çifti gözlenmiştir. 27 kontrol satırından C003 ve C004 legacy olarak disabled bırakılmış, kalan 25 etkin kontrolün tamamı görülmüştür. Kapsam içi 13 tekniğin tamamı covered=1; iki IOC kaydındaki dört uygulama bayrağının tamamı 1'dir.</w:t>
      </w:r>
    </w:p>
    <w:p>
      <w:pPr>
        <w:pStyle w:val="BodyText"/>
        <w:spacing w:after="40"/>
        <w:ind w:firstLine="0" w:left="173"/>
      </w:pPr>
      <w:r>
        <w:rPr>
          <w:rFonts w:ascii="Times New Roman" w:hAnsi="Times New Roman" w:eastAsia="Times New Roman"/>
          <w:b/>
          <w:i w:val="0"/>
          <w:sz w:val="18"/>
          <w:lang w:val="tr-TR" w:eastAsia="tr-TR"/>
        </w:rPr>
        <w:t>CWLC: 100.0 (ağırlık 0.30; 6 varlık ve 12/12 beklenen log çifti).</w:t>
      </w:r>
    </w:p>
    <w:p>
      <w:pPr>
        <w:pStyle w:val="BodyText"/>
        <w:spacing w:after="40"/>
        <w:ind w:firstLine="0" w:left="173"/>
      </w:pPr>
      <w:r>
        <w:rPr>
          <w:rFonts w:ascii="Times New Roman" w:hAnsi="Times New Roman" w:eastAsia="Times New Roman"/>
          <w:b/>
          <w:i w:val="0"/>
          <w:sz w:val="18"/>
          <w:lang w:val="tr-TR" w:eastAsia="tr-TR"/>
        </w:rPr>
        <w:t>CAC: 100.0 (ağırlık 0.25; 25/25 etkin kontrol, aktif ağırlık 23.3/23.3).</w:t>
      </w:r>
    </w:p>
    <w:p>
      <w:pPr>
        <w:pStyle w:val="BodyText"/>
        <w:spacing w:after="40"/>
        <w:ind w:firstLine="0" w:left="173"/>
      </w:pPr>
      <w:r>
        <w:rPr>
          <w:rFonts w:ascii="Times New Roman" w:hAnsi="Times New Roman" w:eastAsia="Times New Roman"/>
          <w:b/>
          <w:i w:val="0"/>
          <w:sz w:val="18"/>
          <w:lang w:val="tr-TR" w:eastAsia="tr-TR"/>
        </w:rPr>
        <w:t>MDC: 100.0 (ağırlık 0.20; 13/13 beyan edilmiş kapsam içi teknik).</w:t>
      </w:r>
    </w:p>
    <w:p>
      <w:pPr>
        <w:pStyle w:val="BodyText"/>
        <w:spacing w:after="40"/>
        <w:ind w:firstLine="0" w:left="173"/>
      </w:pPr>
      <w:r>
        <w:rPr>
          <w:rFonts w:ascii="Times New Roman" w:hAnsi="Times New Roman" w:eastAsia="Times New Roman"/>
          <w:b/>
          <w:i w:val="0"/>
          <w:sz w:val="18"/>
          <w:lang w:val="tr-TR" w:eastAsia="tr-TR"/>
        </w:rPr>
        <w:t>CTIC: 100.0 (ağırlık 0.15; 2 IOC x 4 bayrak = 8/8).</w:t>
      </w:r>
    </w:p>
    <w:p>
      <w:pPr>
        <w:pStyle w:val="BodyText"/>
        <w:spacing w:after="40"/>
        <w:ind w:firstLine="0" w:left="173"/>
      </w:pPr>
      <w:r>
        <w:rPr>
          <w:rFonts w:ascii="Times New Roman" w:hAnsi="Times New Roman" w:eastAsia="Times New Roman"/>
          <w:b/>
          <w:i w:val="0"/>
          <w:sz w:val="18"/>
          <w:lang w:val="tr-TR" w:eastAsia="tr-TR"/>
        </w:rPr>
        <w:t>TF: 100 (ağırlık 0.10; küresel en yeni olay skor çalıştırma anında ≤60 dakika kademesinde).</w:t>
      </w:r>
    </w:p>
    <w:p>
      <w:pPr>
        <w:pStyle w:val="BodyText"/>
        <w:spacing w:after="40"/>
        <w:ind w:firstLine="0" w:left="173"/>
      </w:pPr>
      <m:oMath>
        <m:r>
          <w:rPr>
            <w:sz w:val="20"/>
            <w:szCs w:val="20"/>
            <w:lang w:val="tr-TR" w:eastAsia="tr-TR"/>
          </w:rPr>
          <m:t>0.30+0.25+0.20+0.15+0.10=1.00</m:t>
        </m:r>
      </m:oMath>
      <w:r>
        <w:rPr>
          <w:rFonts w:ascii="Times New Roman" w:hAnsi="Times New Roman" w:eastAsia="Times New Roman"/>
          <w:i w:val="0"/>
          <w:sz w:val="18"/>
          <w:lang w:val="tr-TR" w:eastAsia="tr-TR"/>
        </w:rPr>
        <w:br/>
      </w:r>
      <m:oMath>
        <m:r>
          <m:rPr>
            <m:sty m:val="p"/>
          </m:rPr>
          <w:rPr>
            <w:sz w:val="20"/>
            <w:szCs w:val="20"/>
            <w:lang w:val="tr-TR" w:eastAsia="tr-TR"/>
          </w:rPr>
          <m:t>SACI</m:t>
        </m:r>
        <m:r>
          <w:rPr>
            <w:sz w:val="20"/>
            <w:szCs w:val="20"/>
            <w:lang w:val="tr-TR" w:eastAsia="tr-TR"/>
          </w:rPr>
          <m:t>=</m:t>
        </m:r>
        <m:f>
          <m:fPr>
            <m:type m:val="bar"/>
          </m:fPr>
          <m:num>
            <m:r>
              <w:rPr>
                <w:sz w:val="20"/>
                <w:szCs w:val="20"/>
                <w:lang w:val="tr-TR" w:eastAsia="tr-TR"/>
              </w:rPr>
              <m:t>1.00×100</m:t>
            </m:r>
          </m:num>
          <m:den>
            <m:r>
              <w:rPr>
                <w:sz w:val="20"/>
                <w:szCs w:val="20"/>
                <w:lang w:val="tr-TR" w:eastAsia="tr-TR"/>
              </w:rPr>
              <m:t>1.00</m:t>
            </m:r>
          </m:den>
        </m:f>
        <m:r>
          <w:rPr>
            <w:sz w:val="20"/>
            <w:szCs w:val="20"/>
            <w:lang w:val="tr-TR" w:eastAsia="tr-TR"/>
          </w:rPr>
          <m:t>=100.0</m:t>
        </m:r>
      </m:oMath>
    </w:p>
    <w:p>
      <w:pPr>
        <w:pStyle w:val="BodyText"/>
        <w:spacing w:before="0" w:after="60" w:line="240" w:lineRule="auto"/>
        <w:ind w:firstLine="259"/>
      </w:pPr>
      <w:r>
        <w:rPr>
          <w:rFonts w:ascii="Times New Roman" w:hAnsi="Times New Roman" w:eastAsia="Times New Roman"/>
          <w:b w:val="0"/>
          <w:i w:val="0"/>
          <w:lang w:val="tr-TR" w:eastAsia="tr-TR"/>
        </w:rPr>
        <w:t>SACI=100, tanımlı nihai yayın kanıt evrenindeki bileşen beklentilerinin uygulanmış kurallar altında kapandığını gösterir. Bu sonuç ortamın güvenli olduğunu, tüm saldırıların algılanacağını, tüm Enterprise ATT&amp;CK bilgi tabanının kapsandığını veya yanlış pozitif/negatif oranlarının ölçüldüğünü göstermez.</w:t>
      </w:r>
    </w:p>
    <w:p>
      <w:pPr>
        <w:pStyle w:val="BodyText"/>
        <w:spacing w:before="0" w:after="60" w:line="240" w:lineRule="auto"/>
        <w:ind w:firstLine="259"/>
      </w:pPr>
      <w:r>
        <w:rPr>
          <w:rFonts w:ascii="Times New Roman" w:hAnsi="Times New Roman" w:eastAsia="Times New Roman"/>
          <w:b w:val="0"/>
          <w:i w:val="0"/>
          <w:lang w:val="tr-TR" w:eastAsia="tr-TR"/>
        </w:rPr>
        <w:t>Graf denetimi 97 beyan edilmiş düğüm, observed=1 durumunda 171 kenar satırı, 165 benzersiz kaynak-ilişki-hedef üçlüsü ve 17 ilişki etiketi bulmuştur. LOGSOURCE:Wazuh ile MITRE:T1071.001 düğüm tablosunda beyan edilmemiş uçlardır; altı düğüm izoledir. Ayrıca 110203 kuralı kontrol tablosunda T1071.001, CTIC tablosunda T1071.004 ile eşleşir. Bu nedenle 171/171 satır kapanışı kusursuz referans bütünlüğü olarak yorumlanamaz.</w:t>
      </w:r>
    </w:p>
    <w:p>
      <w:pPr>
        <w:pStyle w:val="BodyText"/>
        <w:spacing w:before="0" w:after="60" w:line="240" w:lineRule="auto"/>
        <w:ind w:firstLine="259"/>
      </w:pPr>
      <w:r>
        <w:rPr>
          <w:rFonts w:ascii="Times New Roman" w:hAnsi="Times New Roman" w:eastAsia="Times New Roman"/>
          <w:b w:val="0"/>
          <w:i w:val="0"/>
          <w:lang w:val="tr-TR" w:eastAsia="tr-TR"/>
        </w:rPr>
        <w:t>Tarihsel duyarlılık serisi beklenen yönlü değişimleri üretmiştir: S0'da 0.00 olan skor S6 CTI entegrasyonunda 94.00 ve tarihsel S8 kapanışında 100.00 olmuştur. Kritik DC01 Sysmon kaybı S7A'da 78.53'e, nonkritik WS01 kaybı S7B'de 92.52'ye; CTI kaybı S12/S13'te 92.50'ye ve tazelik düşüşü S15'te 95.00'e gerilemiştir. S17 iyileştirme sonrası 100.00'dır.</w:t>
      </w:r>
    </w:p>
    <w:p>
      <w:pPr>
        <w:pStyle w:val="Heading2"/>
        <w:spacing w:before="120" w:after="60"/>
        <w:ind w:firstLine="0"/>
        <w:jc w:val="left"/>
      </w:pPr>
      <w:r>
        <w:rPr>
          <w:rFonts w:ascii="Times New Roman" w:hAnsi="Times New Roman" w:eastAsia="Times New Roman"/>
          <w:b/>
          <w:i w:val="0"/>
          <w:sz w:val="20"/>
          <w:lang w:val="tr-TR" w:eastAsia="tr-TR"/>
        </w:rPr>
        <w:t>A. Geçerlik ve Sınırlılıklar</w:t>
      </w:r>
    </w:p>
    <w:p>
      <w:pPr>
        <w:pStyle w:val="BodyText"/>
        <w:spacing w:before="0" w:after="60" w:line="240" w:lineRule="auto"/>
        <w:ind w:firstLine="259"/>
      </w:pPr>
      <w:r>
        <w:rPr>
          <w:rFonts w:ascii="Times New Roman" w:hAnsi="Times New Roman" w:eastAsia="Times New Roman"/>
          <w:b w:val="0"/>
          <w:i w:val="0"/>
          <w:lang w:val="tr-TR" w:eastAsia="tr-TR"/>
        </w:rPr>
        <w:t>Yapı geçerliği bakımından SACI önceden tanımlanmış kanıt kapanışını ölçer; algılama olasılığı, önleme etkinliği, yanlış alarm oranı, MTTD veya artık risk ölçmez. İç geçerlik, çalıştırıcı ve skorlayıcıdaki beklenen kural/teknik alanlarına bağlıdır; bazı kayıtlar koşum dönüş kodundan bağımsız olarak beklenen etiketleri taşıyabilir. CTIC lookup bayrağı da expected_lookup'tan başlatılır.</w:t>
      </w:r>
    </w:p>
    <w:p>
      <w:pPr>
        <w:pStyle w:val="BodyText"/>
        <w:spacing w:before="0" w:after="60" w:line="240" w:lineRule="auto"/>
        <w:ind w:firstLine="259"/>
      </w:pPr>
      <w:r>
        <w:rPr>
          <w:rFonts w:ascii="Times New Roman" w:hAnsi="Times New Roman" w:eastAsia="Times New Roman"/>
          <w:b w:val="0"/>
          <w:i w:val="0"/>
          <w:lang w:val="tr-TR" w:eastAsia="tr-TR"/>
        </w:rPr>
        <w:t>Dış geçerlik tek bir altı-varlıklı Wazuh-MISP laboratuvarı, iki sentetik IOC ve 13 seçili teknikle sınırlıdır. TF küresel en yeni olayı kullandığından bir taze kaynak eski kaynakları maskeleyebilir ve kesin skorlayıcı zamanı yayımlanmadığı için olay yaşı bağımsız olarak yeniden kurulamaz. Upstream /opt/saci-lab/data girdileri, ham canlı log anlık görüntüsü ve tam ortam otomasyonu yayımlanmadığından paket aritmetik/graf denetimini destekler, uçtan uca bağımsız yeniden yürütmeyi değil.</w:t>
      </w:r>
    </w:p>
    <w:p>
      <w:pPr>
        <w:pStyle w:val="Heading1"/>
        <w:spacing w:before="120" w:after="60"/>
        <w:ind w:firstLine="0"/>
        <w:jc w:val="center"/>
      </w:pPr>
      <w:r>
        <w:rPr>
          <w:rFonts w:ascii="Times New Roman" w:hAnsi="Times New Roman" w:eastAsia="Times New Roman"/>
          <w:b/>
          <w:i w:val="0"/>
          <w:sz w:val="20"/>
          <w:lang w:val="tr-TR" w:eastAsia="tr-TR"/>
        </w:rPr>
        <w:t>VI. UYGULAMA VE DENETLENEBİLİRLİK</w:t>
      </w:r>
    </w:p>
    <w:p>
      <w:pPr>
        <w:pStyle w:val="BodyText"/>
        <w:spacing w:before="0" w:after="60" w:line="240" w:lineRule="auto"/>
        <w:ind w:firstLine="259"/>
      </w:pPr>
      <w:r>
        <w:rPr>
          <w:rFonts w:ascii="Times New Roman" w:hAnsi="Times New Roman" w:eastAsia="Times New Roman"/>
          <w:b w:val="0"/>
          <w:i w:val="0"/>
          <w:lang w:val="tr-TR" w:eastAsia="tr-TR"/>
        </w:rPr>
        <w:t>Uygulama; yayımlanan Windows senaryo çalıştırıcısı, deterministik Python skorlayıcısı ve graf oluşturucudan oluşur. Araştırma eki 17 makinece okunabilir dosya yayımlar: kapsam CSV'leri, skor JSON/CSV'leri, düğüm/kenar tabloları, CYJS/Mermaid grafı, reason-code çıktıları ve kaynak kod. Gömülü SHA-256 denetimleri bu dosyaların yayın kimliğini doğrular.</w:t>
      </w:r>
    </w:p>
    <w:p>
      <w:pPr>
        <w:pStyle w:val="BodyText"/>
        <w:spacing w:before="0" w:after="60" w:line="240" w:lineRule="auto"/>
        <w:ind w:firstLine="259"/>
      </w:pPr>
      <w:r>
        <w:rPr>
          <w:rFonts w:ascii="Times New Roman" w:hAnsi="Times New Roman" w:eastAsia="Times New Roman"/>
          <w:b w:val="0"/>
          <w:i w:val="0"/>
          <w:lang w:val="tr-TR" w:eastAsia="tr-TR"/>
        </w:rPr>
        <w:t>Etkileşimli GitHub Pages portalı yöntem, mimari, nihai kanıt tabloları, senaryo seçicili graf ve artefakt haritasını tek araştırma eki altında sunar [13]. Portal; nihai yayın ile tarihsel senaryoları ayrı etiketler, beyan edilmemiş graf uçlarını görsel yer tutucu olarak açıklar ve skor yorum sınırını görünür tutar.</w:t>
      </w:r>
    </w:p>
    <w:p>
      <w:pPr>
        <w:pStyle w:val="Heading1"/>
        <w:spacing w:before="120" w:after="60"/>
        <w:ind w:firstLine="0"/>
        <w:jc w:val="center"/>
      </w:pPr>
      <w:r>
        <w:rPr>
          <w:rFonts w:ascii="Times New Roman" w:hAnsi="Times New Roman" w:eastAsia="Times New Roman"/>
          <w:b/>
          <w:i w:val="0"/>
          <w:sz w:val="20"/>
          <w:lang w:val="tr-TR" w:eastAsia="tr-TR"/>
        </w:rPr>
        <w:t>VII. DENETİM PROTOKOLÜ VE OPERASYONEL YORUM</w:t>
      </w:r>
    </w:p>
    <w:p>
      <w:pPr>
        <w:pStyle w:val="Heading2"/>
        <w:spacing w:before="120" w:after="60"/>
        <w:ind w:firstLine="0"/>
        <w:jc w:val="left"/>
      </w:pPr>
      <w:r>
        <w:rPr>
          <w:rFonts w:ascii="Times New Roman" w:hAnsi="Times New Roman" w:eastAsia="Times New Roman"/>
          <w:b/>
          <w:i w:val="0"/>
          <w:sz w:val="20"/>
          <w:lang w:val="tr-TR" w:eastAsia="tr-TR"/>
        </w:rPr>
        <w:t>A. Yayın Katmanları ve Denetim Zinciri</w:t>
      </w:r>
    </w:p>
    <w:p>
      <w:pPr>
        <w:pStyle w:val="BodyText"/>
        <w:spacing w:before="0" w:after="60" w:line="240" w:lineRule="auto"/>
        <w:ind w:firstLine="259"/>
      </w:pPr>
      <w:r>
        <w:rPr>
          <w:rFonts w:ascii="Times New Roman" w:hAnsi="Times New Roman" w:eastAsia="Times New Roman"/>
          <w:b w:val="0"/>
          <w:i w:val="0"/>
          <w:lang w:val="tr-TR" w:eastAsia="tr-TR"/>
        </w:rPr>
        <w:t>Denetim protokolü üç kanıt katmanını birbirinden ayırır: beyan edilmiş değerlendirme kapsamı, bu kapsamdan türetilen gözlem tabloları ve yayımlanan skor/graf artefaktları. Birinci katman varlık, kaynak, kontrol, teknik ve IOC paydalarını; ikinci katman observed, enabled, covered ve uygulama bayraklarını; üçüncü katman ise bileşen skorlarını, ilişki satırlarını ve bütünlük bulgularını taşır. Bağımsız bir denetçi CSV ve JSON dosyalarından pay ve paydaları yeniden hesaplayabilir, 171 kenar satırını 165 benzersiz üçlüye indirgeme işlemini yineleyebilir ve beyan edilmemiş uçları düğüm tablosuyla karşılaştırabilir. SHA-256 denetimleri yayın paketinin kimliğini sabitler; ancak upstream telemetrinin özgünlüğünü veya koşumun eksiksiz yürütüldüğünü tek başına kanıtlamaz. Benzer biçimde boş reason-code çıktısı yalnızca uygulanmış kuralların açıklama üretmediğini gösterir. Bu nedenle SACI, deterministik paket denetimi ile tam deneysel yeniden üretimi açıkça farklı güvence düzeyleri olarak ele alır.</w:t>
      </w:r>
    </w:p>
    <w:p>
      <w:pPr>
        <w:pStyle w:val="Heading2"/>
        <w:spacing w:before="120" w:after="60"/>
        <w:ind w:firstLine="0"/>
        <w:jc w:val="left"/>
      </w:pPr>
      <w:r>
        <w:rPr>
          <w:rFonts w:ascii="Times New Roman" w:hAnsi="Times New Roman" w:eastAsia="Times New Roman"/>
          <w:b/>
          <w:i w:val="0"/>
          <w:sz w:val="20"/>
          <w:lang w:val="tr-TR" w:eastAsia="tr-TR"/>
        </w:rPr>
        <w:t>B. Skorların Karar Semantiği</w:t>
      </w:r>
    </w:p>
    <w:p>
      <w:pPr>
        <w:pStyle w:val="BodyText"/>
        <w:spacing w:before="0" w:after="60" w:line="240" w:lineRule="auto"/>
        <w:ind w:firstLine="259"/>
      </w:pPr>
      <w:r>
        <w:rPr>
          <w:rFonts w:ascii="Times New Roman" w:hAnsi="Times New Roman" w:eastAsia="Times New Roman"/>
          <w:b w:val="0"/>
          <w:i w:val="0"/>
          <w:lang w:val="tr-TR" w:eastAsia="tr-TR"/>
        </w:rPr>
        <w:t>Her değerlendirme yalnızca birleşik SACI değeriyle değil, beş bileşenli skor vektörü, aktif metrik kümesi, ağırlıklar ve kapsam kimliğiyle birlikte okunmalıdır. Aktif-ağırlık normalizasyonu N/A bir bileşenin yapay olarak sıfır yazılmasını önler; buna karşılık aktif metrik kümesi değişen iki koşum, paydaları farklı olduğundan doğrudan karşılaştırılamaz. Aynı ilke kapsamın, kontrol durumlarının ve teknik listesinin sürümlenmesini gerektirir. Belgelenmiş bir politika uyarınca disabled legacy kontroller CAC paydasından çıkarılabilirken, etkin fakat gözlenmeyen bir kontrol boşluk olarak kalmalıdır. Kritik varlık ağırlıkları da S7A ve S7B arasındaki asimetrinin tasarlanmış nedenidir; bu fark olasılıksal risk tahmini değildir. SACI bu koşullar altında yayın kapısı, kanıt-tamlık denetimi veya sabit kapsamlı zaman serisi göstergesi olarak kullanılabilir. Farklı kapsamlar arasında ürün, ekip ya da kurum sıralaması üretmek ise ek kalibrasyon ve dış doğrulama olmadan metodolojik olarak savunulamaz.</w:t>
      </w:r>
    </w:p>
    <w:p>
      <w:pPr>
        <w:pStyle w:val="Heading2"/>
        <w:spacing w:before="120" w:after="60"/>
        <w:ind w:firstLine="0"/>
        <w:jc w:val="left"/>
      </w:pPr>
      <w:r>
        <w:rPr>
          <w:rFonts w:ascii="Times New Roman" w:hAnsi="Times New Roman" w:eastAsia="Times New Roman"/>
          <w:b/>
          <w:i w:val="0"/>
          <w:sz w:val="20"/>
          <w:lang w:val="tr-TR" w:eastAsia="tr-TR"/>
        </w:rPr>
        <w:t>C. Duyarlılık ve Arıza Semantiği</w:t>
      </w:r>
    </w:p>
    <w:p>
      <w:pPr>
        <w:pStyle w:val="BodyText"/>
        <w:spacing w:before="0" w:after="60" w:line="240" w:lineRule="auto"/>
        <w:ind w:firstLine="259"/>
      </w:pPr>
      <w:r>
        <w:rPr>
          <w:rFonts w:ascii="Times New Roman" w:hAnsi="Times New Roman" w:eastAsia="Times New Roman"/>
          <w:b w:val="0"/>
          <w:i w:val="0"/>
          <w:lang w:val="tr-TR" w:eastAsia="tr-TR"/>
        </w:rPr>
        <w:t>S0-S18 serisindeki 20 senaryo bağımsız istatistiksel gözlemler değil, formüllere uygulanan deterministik bozma ve iyileştirme deneyleridir. Seri; boş başlangıçtan CTI entegrasyonuna ve tam kapanışa yükselişi, kritik ile nonkritik telemetri kaybının farklı etkisini, CTI bayraklarının kaldırılmasını ve tazelik kademesinin gerilemesini sınar. S7A'nın S7B'den daha düşük olması kritik ağırlığın; S12/S13'ün 92.50'de eşitlenmesi aynı CTIC kaybının; S15'in 95.00'e gerilemesi ise TF ağırlığının beklenen yönlü etkisini doğrular. Bu deneyler skorlayıcının girdilere duyarlı olduğunu ve ağırlık sıralamasını uyguladığını gösterir. Bununla birlikte tekrar koşumları, dağılım varsayımları, güven aralıkları veya bağımsız saha örnekleri bulunmadığından nedensel etki büyüklüğü ya da öngörü başarısı çıkarılamaz. İstatistiksel geçerlik için çoklu laboratuvarlarda önceden kaydedilmiş hipotezler, tekrarlı koşumlar ve gerçek olay sonuçlarıyla ayrı bir çalışma gerekir.</w:t>
      </w:r>
    </w:p>
    <w:p>
      <w:pPr>
        <w:pStyle w:val="Heading2"/>
        <w:spacing w:before="120" w:after="60"/>
        <w:ind w:firstLine="0"/>
        <w:jc w:val="left"/>
      </w:pPr>
      <w:r>
        <w:rPr>
          <w:rFonts w:ascii="Times New Roman" w:hAnsi="Times New Roman" w:eastAsia="Times New Roman"/>
          <w:b/>
          <w:i w:val="0"/>
          <w:sz w:val="20"/>
          <w:lang w:val="tr-TR" w:eastAsia="tr-TR"/>
        </w:rPr>
        <w:t>D. Üretimleştirme İlkeleri</w:t>
      </w:r>
    </w:p>
    <w:p>
      <w:pPr>
        <w:pStyle w:val="BodyText"/>
        <w:spacing w:before="0" w:after="60" w:line="240" w:lineRule="auto"/>
        <w:ind w:firstLine="259"/>
      </w:pPr>
      <w:r>
        <w:rPr>
          <w:rFonts w:ascii="Times New Roman" w:hAnsi="Times New Roman" w:eastAsia="Times New Roman"/>
          <w:b w:val="0"/>
          <w:i w:val="0"/>
          <w:lang w:val="tr-TR" w:eastAsia="tr-TR"/>
        </w:rPr>
        <w:t>Üretim kullanımı için hesaplama hattı başarısız koşumlarda kapalı kalmalı; her gözlem koşum kimliği, gerçek alarm veya olay kimliği, kaynak zaman damgası ve dosya özetiyle bağlanmalıdır. Tazelik küresel en yeni olay yerine kaynak bazında hesaplanmalı, şema kontrolleri eksik veya beklenmeyen sütunları reddetmeli ve graf oluşturucu beyan edilmemiş uçları yalnızca raporlamakla kalmayıp bütünlük politikasına göre koşumu geçersiz kılabilmelidir. 110203 kuralındaki T1071.001/T1071.004 ayrımı tek bir sürümlü eşleme kaynağında uzlaştırılmalıdır. Kapsam, ağırlık ve eşik yapılandırmaları sonuçla birlikte yayımlanmalı; portal, ham artefaktları yerinde düzeltmeden aynı sürümden türetilmelidir. Sürekli bütünleştirme testleri skor-graf tutarlılığını, benzersiz ilişki anahtarlarını, izole düğüm politikasını ve reason-code kapsamasını denetleyebilir. Son olarak dış geçerlik, aynı protokolün farklı SIEM ürünleri, ağ topolojileri ve bağımsız saha ekipleri tarafından uygulanmasıyla sınanmalıdır.</w:t>
      </w:r>
    </w:p>
    <w:p>
      <w:pPr>
        <w:pStyle w:val="Heading1"/>
        <w:spacing w:before="120" w:after="60"/>
        <w:ind w:firstLine="0"/>
        <w:jc w:val="center"/>
      </w:pPr>
      <w:r>
        <w:rPr>
          <w:rFonts w:ascii="Times New Roman" w:hAnsi="Times New Roman" w:eastAsia="Times New Roman"/>
          <w:b/>
          <w:i w:val="0"/>
          <w:sz w:val="20"/>
          <w:lang w:val="tr-TR" w:eastAsia="tr-TR"/>
        </w:rPr>
        <w:t>VIII. SONUÇ</w:t>
      </w:r>
    </w:p>
    <w:p>
      <w:pPr>
        <w:pStyle w:val="BodyText"/>
        <w:spacing w:before="0" w:after="60" w:line="240" w:lineRule="auto"/>
        <w:ind w:firstLine="259"/>
      </w:pPr>
      <w:r>
        <w:rPr>
          <w:rFonts w:ascii="Times New Roman" w:hAnsi="Times New Roman" w:eastAsia="Times New Roman"/>
          <w:b w:val="0"/>
          <w:i w:val="0"/>
          <w:lang w:val="tr-TR" w:eastAsia="tr-TR"/>
        </w:rPr>
        <w:t>SACI, önceden tanımlanmış bir SIEM-CTI kanıt evrenini izlenebilir graf modeli ve aktif ağırlıklarla normalize edilen birleşik görünürlük skoruna dönüştürmenin uygulanabilir olduğunu göstermiştir. Nihai değerlendirmede tüm beş bileşenin 100 olması; 12/12 log çifti, 25/25 etkin kontrol, 13/13 kapsam içi teknik ve 8/8 CTI bayrağının kapanışıyla aritmetik olarak doğrulanmıştır.</w:t>
      </w:r>
    </w:p>
    <w:p>
      <w:pPr>
        <w:pStyle w:val="BodyText"/>
        <w:spacing w:before="0" w:after="60" w:line="240" w:lineRule="auto"/>
        <w:ind w:firstLine="259"/>
      </w:pPr>
      <w:r>
        <w:rPr>
          <w:rFonts w:ascii="Times New Roman" w:hAnsi="Times New Roman" w:eastAsia="Times New Roman"/>
          <w:b w:val="0"/>
          <w:i w:val="0"/>
          <w:lang w:val="tr-TR" w:eastAsia="tr-TR"/>
        </w:rPr>
        <w:t>Bununla birlikte sonuç kapsamla sınırlıdır. Gelecek çalışmalar gerçek alarm kimliği ve zaman damgasına dayalı kanıt kökenini zorunlu kılmalı, başarısız koşumları skordan dışlamalı, T1071.001/T1071.004 eşlemesini uzlaştırmalı, kaynak-bazlı tazelik ölçümü eklemeli, referans bütünlüğünü otomatik test etmeli ve tam ortam/ham veri anlık görüntüleriyle çok sahalı dış doğrulama yapmalıdır.</w:t>
      </w:r>
    </w:p>
    <w:p>
      <w:pPr>
        <w:pStyle w:val="Heading1"/>
        <w:spacing w:before="120" w:after="60"/>
        <w:ind w:firstLine="0"/>
        <w:jc w:val="center"/>
      </w:pPr>
      <w:r>
        <w:rPr>
          <w:rFonts w:ascii="Times New Roman" w:hAnsi="Times New Roman" w:eastAsia="Times New Roman"/>
          <w:b/>
          <w:i w:val="0"/>
          <w:sz w:val="20"/>
          <w:lang w:val="tr-TR" w:eastAsia="tr-TR"/>
        </w:rPr>
        <w:t>IX. VERİ VE ARTEFAKT ERİŞİLEBİLİRLİĞİ</w:t>
      </w:r>
    </w:p>
    <w:p>
      <w:pPr>
        <w:pStyle w:val="BodyText"/>
        <w:spacing w:before="0" w:after="60" w:line="240" w:lineRule="auto"/>
        <w:ind w:firstLine="259"/>
      </w:pPr>
      <w:r>
        <w:rPr>
          <w:rFonts w:ascii="Times New Roman" w:hAnsi="Times New Roman" w:eastAsia="Times New Roman"/>
          <w:b w:val="0"/>
          <w:i w:val="0"/>
          <w:lang w:val="tr-TR" w:eastAsia="tr-TR"/>
        </w:rPr>
        <w:t>Nihai skor, kapsam, reason-code, graf ve kaynak kod artefaktları ile etkileşimli araştırma eki SACI Final Evidence Portal'da yayımlanmıştır [13].</w:t>
      </w:r>
    </w:p>
    <w:p>
      <w:pPr>
        <w:pStyle w:val="Heading1"/>
        <w:spacing w:before="120" w:after="60"/>
        <w:ind w:firstLine="0"/>
        <w:jc w:val="center"/>
      </w:pPr>
      <w:r>
        <w:rPr>
          <w:rFonts w:ascii="Times New Roman" w:hAnsi="Times New Roman" w:eastAsia="Times New Roman"/>
          <w:b/>
          <w:i w:val="0"/>
          <w:sz w:val="20"/>
          <w:lang w:val="tr-TR" w:eastAsia="tr-TR"/>
        </w:rPr>
        <w:t>KAYNAKLAR</w:t>
      </w:r>
    </w:p>
    <w:p>
      <w:pPr>
        <w:pStyle w:val="BodyText"/>
        <w:spacing w:after="40"/>
        <w:ind w:hanging="259" w:left="259"/>
      </w:pPr>
      <w:r>
        <w:rPr>
          <w:rFonts w:ascii="Times New Roman" w:hAnsi="Times New Roman" w:eastAsia="Times New Roman"/>
          <w:b w:val="0"/>
          <w:i w:val="0"/>
          <w:sz w:val="16"/>
          <w:lang w:val="tr-TR" w:eastAsia="tr-TR"/>
        </w:rPr>
        <w:t>[1] The MITRE Corporation, "Enterprise Matrix," MITRE ATT&amp;CK. Accessed: Jun. 21, 2026. [Online]. Available: https://attack.mitre.org/matrices/enterprise/</w:t>
      </w:r>
    </w:p>
    <w:p>
      <w:pPr>
        <w:pStyle w:val="BodyText"/>
        <w:spacing w:after="40"/>
        <w:ind w:hanging="259" w:left="259"/>
      </w:pPr>
      <w:r>
        <w:rPr>
          <w:rFonts w:ascii="Times New Roman" w:hAnsi="Times New Roman" w:eastAsia="Times New Roman"/>
          <w:b w:val="0"/>
          <w:i w:val="0"/>
          <w:sz w:val="16"/>
          <w:lang w:val="tr-TR" w:eastAsia="tr-TR"/>
        </w:rPr>
        <w:t>[2] Wazuh, "MITRE ATT&amp;CK framework - Data analysis," Wazuh Documentation. Accessed: Jun. 21, 2026. [Online]. Available: https://documentation.wazuh.com/current/user-manual/ruleset/mitre.html</w:t>
      </w:r>
    </w:p>
    <w:p>
      <w:pPr>
        <w:pStyle w:val="BodyText"/>
        <w:spacing w:after="40"/>
        <w:ind w:hanging="259" w:left="259"/>
      </w:pPr>
      <w:r>
        <w:rPr>
          <w:rFonts w:ascii="Times New Roman" w:hAnsi="Times New Roman" w:eastAsia="Times New Roman"/>
          <w:b w:val="0"/>
          <w:i w:val="0"/>
          <w:sz w:val="16"/>
          <w:lang w:val="tr-TR" w:eastAsia="tr-TR"/>
        </w:rPr>
        <w:t>[3] OASIS Cyber Threat Intelligence TC, "STIX Version 2.1," OASIS Standard, 2021. [Online]. Available: https://docs.oasis-open.org/cti/stix/v2.1/stix-v2.1.html</w:t>
      </w:r>
    </w:p>
    <w:p>
      <w:pPr>
        <w:pStyle w:val="BodyText"/>
        <w:spacing w:after="40"/>
        <w:ind w:hanging="259" w:left="259"/>
      </w:pPr>
      <w:r>
        <w:rPr>
          <w:rFonts w:ascii="Times New Roman" w:hAnsi="Times New Roman" w:eastAsia="Times New Roman"/>
          <w:b w:val="0"/>
          <w:i w:val="0"/>
          <w:sz w:val="16"/>
          <w:lang w:val="tr-TR" w:eastAsia="tr-TR"/>
        </w:rPr>
        <w:t>[4] K. Dempsey, N. Chawla, A. Johnson, R. Johnston, A. Jones, A. Orebaugh, M. Scholl, and K. Stine, "Information Security Continuous Monitoring (ISCM) for Federal Information Systems and Organizations," NIST Special Publication 800-137, 2011.</w:t>
      </w:r>
    </w:p>
    <w:p>
      <w:pPr>
        <w:pStyle w:val="BodyText"/>
        <w:spacing w:after="40"/>
        <w:ind w:hanging="259" w:left="259"/>
      </w:pPr>
      <w:r>
        <w:rPr>
          <w:rFonts w:ascii="Times New Roman" w:hAnsi="Times New Roman" w:eastAsia="Times New Roman"/>
          <w:b w:val="0"/>
          <w:i w:val="0"/>
          <w:sz w:val="16"/>
          <w:lang w:val="tr-TR" w:eastAsia="tr-TR"/>
        </w:rPr>
        <w:t>[5] National Institute of Standards and Technology, "The NIST Cybersecurity Framework (CSF) 2.0," NIST Cybersecurity White Paper, 2024.</w:t>
      </w:r>
    </w:p>
    <w:p>
      <w:pPr>
        <w:pStyle w:val="BodyText"/>
        <w:spacing w:after="40"/>
        <w:ind w:hanging="259" w:left="259"/>
      </w:pPr>
      <w:r>
        <w:rPr>
          <w:rFonts w:ascii="Times New Roman" w:hAnsi="Times New Roman" w:eastAsia="Times New Roman"/>
          <w:b w:val="0"/>
          <w:i w:val="0"/>
          <w:sz w:val="16"/>
          <w:lang w:val="tr-TR" w:eastAsia="tr-TR"/>
        </w:rPr>
        <w:t>[6] B. Al-Sada, A. Sadighian, and G. Oligeri, "MITRE ATT&amp;CK: State of the Art and Way Forward," arXiv:2308.14016, 2023.</w:t>
      </w:r>
    </w:p>
    <w:p>
      <w:pPr>
        <w:pStyle w:val="BodyText"/>
        <w:spacing w:after="40"/>
        <w:ind w:hanging="259" w:left="259"/>
      </w:pPr>
      <w:r>
        <w:rPr>
          <w:rFonts w:ascii="Times New Roman" w:hAnsi="Times New Roman" w:eastAsia="Times New Roman"/>
          <w:b w:val="0"/>
          <w:i w:val="0"/>
          <w:sz w:val="16"/>
          <w:lang w:val="tr-TR" w:eastAsia="tr-TR"/>
        </w:rPr>
        <w:t>[7] H. Manocha, A. Srivastava, C. Verma, R. Gupta, and B. Bansal, "Security Assessment Rating Framework for Enterprises using MITRE ATT&amp;CK Matrix," arXiv:2108.06559, 2021.</w:t>
      </w:r>
    </w:p>
    <w:p>
      <w:pPr>
        <w:pStyle w:val="BodyText"/>
        <w:spacing w:after="40"/>
        <w:ind w:hanging="259" w:left="259"/>
      </w:pPr>
      <w:r>
        <w:rPr>
          <w:rFonts w:ascii="Times New Roman" w:hAnsi="Times New Roman" w:eastAsia="Times New Roman"/>
          <w:b w:val="0"/>
          <w:i w:val="0"/>
          <w:sz w:val="16"/>
          <w:lang w:val="tr-TR" w:eastAsia="tr-TR"/>
        </w:rPr>
        <w:t>[8] K. Liu, F. Wang, Z. Ding, S. Liang, Z. Yu, and Y. Zhou, "A review of knowledge graph application scenarios in cyber security," arXiv:2204.04769, 2022.</w:t>
      </w:r>
    </w:p>
    <w:p>
      <w:pPr>
        <w:pStyle w:val="BodyText"/>
        <w:spacing w:after="40"/>
        <w:ind w:hanging="259" w:left="259"/>
      </w:pPr>
      <w:r>
        <w:rPr>
          <w:rFonts w:ascii="Times New Roman" w:hAnsi="Times New Roman" w:eastAsia="Times New Roman"/>
          <w:b w:val="0"/>
          <w:i w:val="0"/>
          <w:sz w:val="16"/>
          <w:lang w:val="tr-TR" w:eastAsia="tr-TR"/>
        </w:rPr>
        <w:t>[9] R. Sommer and V. Paxson, "Outside the closed world: On using machine learning for network intrusion detection," in Proc. IEEE Symposium on Security and Privacy, 2010, pp. 305-316.</w:t>
      </w:r>
    </w:p>
    <w:p>
      <w:pPr>
        <w:pStyle w:val="BodyText"/>
        <w:spacing w:after="40"/>
        <w:ind w:hanging="259" w:left="259"/>
      </w:pPr>
      <w:r>
        <w:rPr>
          <w:rFonts w:ascii="Times New Roman" w:hAnsi="Times New Roman" w:eastAsia="Times New Roman"/>
          <w:b w:val="0"/>
          <w:i w:val="0"/>
          <w:sz w:val="16"/>
          <w:lang w:val="tr-TR" w:eastAsia="tr-TR"/>
        </w:rPr>
        <w:t>[10] V. Mavroeidis and S. Bromander, "Cyber threat intelligence model: An evaluation of taxonomies, sharing standards, and ontologies within cyber threat intelligence," in Proc. 2017 European Intelligence and Security Informatics Conference, 2017, pp. 91-98.</w:t>
      </w:r>
    </w:p>
    <w:p>
      <w:pPr>
        <w:pStyle w:val="BodyText"/>
        <w:spacing w:after="40"/>
        <w:ind w:hanging="259" w:left="259"/>
      </w:pPr>
      <w:r>
        <w:rPr>
          <w:rFonts w:ascii="Times New Roman" w:hAnsi="Times New Roman" w:eastAsia="Times New Roman"/>
          <w:b w:val="0"/>
          <w:i w:val="0"/>
          <w:sz w:val="16"/>
          <w:lang w:val="tr-TR" w:eastAsia="tr-TR"/>
        </w:rPr>
        <w:t>[11] OASIS Cyber Threat Intelligence TC, "TAXII Version 2.1," OASIS Standard, 2021. [Online]. Available: https://docs.oasis-open.org/cti/taxii/v2.1/taxii-v2.1.html</w:t>
      </w:r>
    </w:p>
    <w:p>
      <w:pPr>
        <w:pStyle w:val="BodyText"/>
        <w:spacing w:after="40"/>
        <w:ind w:hanging="259" w:left="259"/>
      </w:pPr>
      <w:r>
        <w:rPr>
          <w:rFonts w:ascii="Times New Roman" w:hAnsi="Times New Roman" w:eastAsia="Times New Roman"/>
          <w:b w:val="0"/>
          <w:i w:val="0"/>
          <w:sz w:val="16"/>
          <w:lang w:val="tr-TR" w:eastAsia="tr-TR"/>
        </w:rPr>
        <w:t>[12] M. Ussath, D. Jaeger, F. Cheng, and C. Meinel, "Advanced persistent threats: Behind the scenes," in Proc. 2016 Annual Conference on Information Science and Systems, 2016, pp. 181-186.</w:t>
      </w:r>
    </w:p>
    <w:p>
      <w:pPr>
        <w:pStyle w:val="BodyText"/>
        <w:spacing w:after="40"/>
        <w:ind w:hanging="259" w:left="259"/>
      </w:pPr>
      <w:r>
        <w:rPr>
          <w:rFonts w:ascii="Times New Roman" w:hAnsi="Times New Roman" w:eastAsia="Times New Roman"/>
          <w:b w:val="0"/>
          <w:i w:val="0"/>
          <w:sz w:val="16"/>
          <w:lang w:val="tr-TR" w:eastAsia="tr-TR"/>
        </w:rPr>
        <w:t>[13] İ. Arslan, "SACI Final Evidence Portal: araştırma artefaktı," 2026. [Çevrimiçi]. Erişim: https://4rslanismet.github.io/saci-final-evidence/ Erişim tarihi: 11 Temmuz 2026.</w:t>
      </w:r>
    </w:p>
    <w:p>
      <w:pPr>
        <w:pStyle w:val="BodyText"/>
        <w:spacing w:after="40"/>
        <w:ind w:hanging="259" w:left="259"/>
      </w:pPr>
      <w:r>
        <w:rPr>
          <w:rFonts w:ascii="Times New Roman" w:hAnsi="Times New Roman" w:eastAsia="Times New Roman"/>
          <w:b w:val="0"/>
          <w:i w:val="0"/>
          <w:sz w:val="16"/>
          <w:lang w:val="tr-TR" w:eastAsia="tr-TR"/>
        </w:rPr>
        <w:t>[14] Wazuh, "Quickstart," Wazuh Documentation. [Çevrimiçi]. Erişim: https://documentation.wazuh.com/current/quickstart.html Erişim tarihi: 11 Temmuz 2026.</w:t>
      </w:r>
    </w:p>
    <w:p>
      <w:pPr>
        <w:pStyle w:val="BodyText"/>
        <w:spacing w:after="40"/>
        <w:ind w:hanging="259" w:left="259"/>
      </w:pPr>
      <w:r>
        <w:rPr>
          <w:rFonts w:ascii="Times New Roman" w:hAnsi="Times New Roman" w:eastAsia="Times New Roman"/>
          <w:b w:val="0"/>
          <w:i w:val="0"/>
          <w:sz w:val="16"/>
          <w:lang w:val="tr-TR" w:eastAsia="tr-TR"/>
        </w:rPr>
        <w:t>[15] Wazuh, "Wazuh agent - Installation guide," Wazuh Documentation. [Çevrimiçi]. Erişim: https://documentation.wazuh.com/current/installation-guide/wazuh-agent/index.html Erişim tarihi: 11 Temmuz 2026.</w:t>
      </w:r>
    </w:p>
    <w:p>
      <w:pPr>
        <w:pStyle w:val="BodyText"/>
        <w:spacing w:after="40"/>
        <w:ind w:hanging="259" w:left="259"/>
      </w:pPr>
      <w:r>
        <w:rPr>
          <w:rFonts w:ascii="Times New Roman" w:hAnsi="Times New Roman" w:eastAsia="Times New Roman"/>
          <w:b w:val="0"/>
          <w:i w:val="0"/>
          <w:sz w:val="16"/>
          <w:lang w:val="tr-TR" w:eastAsia="tr-TR"/>
        </w:rPr>
        <w:t>[16] Wazuh, "Wazuh agent enrollment," Wazuh Documentation. [Çevrimiçi]. Erişim: https://documentation.wazuh.com/current/user-manual/agent/agent-enrollment/index.html Erişim tarihi: 11 Temmuz 2026.</w:t>
      </w:r>
    </w:p>
    <w:p>
      <w:pPr>
        <w:pStyle w:val="BodyText"/>
        <w:spacing w:after="40"/>
        <w:ind w:hanging="259" w:left="259"/>
      </w:pPr>
      <w:r>
        <w:rPr>
          <w:rFonts w:ascii="Times New Roman" w:hAnsi="Times New Roman" w:eastAsia="Times New Roman"/>
          <w:b w:val="0"/>
          <w:i w:val="0"/>
          <w:sz w:val="16"/>
          <w:lang w:val="tr-TR" w:eastAsia="tr-TR"/>
        </w:rPr>
        <w:t>[17] Wazuh, "Configuring log collection for different operating systems," Wazuh Documentation. [Çevrimiçi]. Erişim: https://documentation.wazuh.com/current/user-manual/capabilities/log-data-collection/configuration.html Erişim tarihi: 11 Temmuz 2026.</w:t>
      </w:r>
    </w:p>
    <w:p>
      <w:pPr>
        <w:pStyle w:val="BodyText"/>
        <w:spacing w:after="40"/>
        <w:ind w:hanging="259" w:left="259"/>
      </w:pPr>
      <w:r>
        <w:rPr>
          <w:rFonts w:ascii="Times New Roman" w:hAnsi="Times New Roman" w:eastAsia="Times New Roman"/>
          <w:b w:val="0"/>
          <w:i w:val="0"/>
          <w:sz w:val="16"/>
          <w:lang w:val="tr-TR" w:eastAsia="tr-TR"/>
        </w:rPr>
        <w:t>[18] Wazuh, "External API integration," Wazuh Documentation. [Çevrimiçi]. Erişim: https://documentation.wazuh.com/current/user-manual/manager/integration-with-external-apis.html Erişim tarihi: 11 Temmuz 2026.</w:t>
      </w:r>
    </w:p>
    <w:p>
      <w:pPr>
        <w:pStyle w:val="BodyText"/>
        <w:spacing w:after="40"/>
        <w:ind w:hanging="259" w:left="259"/>
      </w:pPr>
      <w:r>
        <w:rPr>
          <w:rFonts w:ascii="Times New Roman" w:hAnsi="Times New Roman" w:eastAsia="Times New Roman"/>
          <w:b w:val="0"/>
          <w:i w:val="0"/>
          <w:sz w:val="16"/>
          <w:lang w:val="tr-TR" w:eastAsia="tr-TR"/>
        </w:rPr>
        <w:t>[19] MISP Project, "Welcome to the official MISP Install Guides." [Çevrimiçi]. Erişim: https://misp.github.io/MISP/ Erişim tarihi: 11 Temmuz 2026.</w:t>
      </w:r>
    </w:p>
    <w:p>
      <w:pPr>
        <w:pStyle w:val="BodyText"/>
        <w:spacing w:after="40"/>
        <w:ind w:hanging="259" w:left="259"/>
      </w:pPr>
      <w:r>
        <w:rPr>
          <w:rFonts w:ascii="Times New Roman" w:hAnsi="Times New Roman" w:eastAsia="Times New Roman"/>
          <w:b w:val="0"/>
          <w:i w:val="0"/>
          <w:sz w:val="16"/>
          <w:lang w:val="tr-TR" w:eastAsia="tr-TR"/>
        </w:rPr>
        <w:t>[20] MISP Project, "MISP Documentation and Support." [Çevrimiçi]. Erişim: https://www.misp-project.org/documentation/ Erişim tarihi: 11 Temmuz 2026.</w:t>
      </w:r>
    </w:p>
    <w:p>
      <w:pPr>
        <w:pStyle w:val="BodyText"/>
        <w:spacing w:after="40"/>
        <w:ind w:hanging="259" w:left="259"/>
      </w:pPr>
      <w:r>
        <w:rPr>
          <w:rFonts w:ascii="Times New Roman" w:hAnsi="Times New Roman" w:eastAsia="Times New Roman"/>
          <w:b w:val="0"/>
          <w:i w:val="0"/>
          <w:sz w:val="16"/>
          <w:lang w:val="tr-TR" w:eastAsia="tr-TR"/>
        </w:rPr>
        <w:t>[21] Netgate, "Remote Logging with Syslog," pfSense Documentation. [Çevrimiçi]. Erişim: https://docs.netgate.com/pfsense/en/latest/monitoring/logs/remote.html Erişim tarihi: 11 Temmuz 2026.</w:t>
      </w:r>
    </w:p>
    <w:p>
      <w:pPr>
        <w:pStyle w:val="BodyText"/>
        <w:spacing w:after="40"/>
        <w:ind w:hanging="259" w:left="259"/>
      </w:pPr>
      <w:r>
        <w:rPr>
          <w:rFonts w:ascii="Times New Roman" w:hAnsi="Times New Roman" w:eastAsia="Times New Roman"/>
          <w:b w:val="0"/>
          <w:i w:val="0"/>
          <w:sz w:val="16"/>
          <w:lang w:val="tr-TR" w:eastAsia="tr-TR"/>
        </w:rPr>
        <w:t>[22] M. Russinovich ve T. Garnier, "Sysmon v15.21," Microsoft Sysinternals, 17 Haziran 2026. [Çevrimiçi]. Erişim: https://learn.microsoft.com/en-us/sysinternals/downloads/sysmon Erişim tarihi: 11 Temmuz 2026.</w:t>
      </w:r>
    </w:p>
    <w:p>
      <w:pPr>
        <w:pStyle w:val="BodyText"/>
        <w:spacing w:after="40"/>
        <w:ind w:hanging="259" w:left="259"/>
      </w:pPr>
      <w:r>
        <w:rPr>
          <w:rFonts w:ascii="Times New Roman" w:hAnsi="Times New Roman" w:eastAsia="Times New Roman"/>
          <w:b w:val="0"/>
          <w:i w:val="0"/>
          <w:sz w:val="16"/>
          <w:lang w:val="tr-TR" w:eastAsia="tr-TR"/>
        </w:rPr>
        <w:t>[23] Microsoft, "about_Logging," Microsoft Learn - Windows PowerShell 5.1. [Çevrimiçi]. Erişim: https://learn.microsoft.com/en-us/powershell/module/microsoft.powershell.core/about/about_logging?view=powershell-5.1 Erişim tarihi: 11 Temmuz 2026.</w:t>
      </w:r>
    </w:p>
    <w:p>
      <w:pPr>
        <w:pStyle w:val="BodyText"/>
        <w:spacing w:after="40"/>
        <w:ind w:hanging="259" w:left="259"/>
      </w:pPr>
      <w:r>
        <w:rPr>
          <w:rFonts w:ascii="Times New Roman" w:hAnsi="Times New Roman" w:eastAsia="Times New Roman"/>
          <w:b w:val="0"/>
          <w:i w:val="0"/>
          <w:sz w:val="16"/>
          <w:lang w:val="tr-TR" w:eastAsia="tr-TR"/>
        </w:rPr>
        <w:t>[24] Ansible Project, "Windows Remote Management," Ansible Core Documentation. [Çevrimiçi]. Erişim: https://docs.ansible.com/projects/ansible-core/2.17/os_guide/windows_winrm.html Erişim tarihi: 11 Temmuz 2026.</w:t>
      </w:r>
    </w:p>
    <w:p>
      <w:pPr>
        <w:pStyle w:val="BodyText"/>
        <w:spacing w:after="40"/>
        <w:ind w:hanging="259" w:left="259"/>
      </w:pPr>
      <w:r>
        <w:rPr>
          <w:rFonts w:ascii="Times New Roman" w:hAnsi="Times New Roman" w:eastAsia="Times New Roman"/>
          <w:b w:val="0"/>
          <w:i w:val="0"/>
          <w:sz w:val="16"/>
          <w:lang w:val="tr-TR" w:eastAsia="tr-TR"/>
        </w:rPr>
        <w:t>[25] MITRE, "ATT&amp;CK Data &amp; Tools," MITRE ATT&amp;CK. [Çevrimiçi]. Erişim: https://attack.mitre.org/resources/attack-data-and-tools/ Erişim tarihi: 11 Temmuz 2026.</w:t>
      </w:r>
    </w:p>
    <w:p>
      <w:pPr>
        <w:pStyle w:val="BodyText"/>
        <w:spacing w:after="40"/>
        <w:ind w:hanging="259" w:left="259"/>
      </w:pPr>
      <w:r>
        <w:rPr>
          <w:rFonts w:ascii="Times New Roman" w:hAnsi="Times New Roman" w:eastAsia="Times New Roman"/>
          <w:b w:val="0"/>
          <w:i w:val="0"/>
          <w:sz w:val="16"/>
          <w:lang w:val="tr-TR" w:eastAsia="tr-TR"/>
        </w:rPr>
        <w:t>[26] K. Schroeder, H. Trinh ve V. Pillitteri, "Measurement Guide for Information Security: Volume 1—Identifying and Selecting Measures," NIST SP 800-55 Vol. 1, Aralık 2024, doi: 10.6028/NIST.SP.800-55v1.</w:t>
      </w:r>
    </w:p>
    <w:p>
      <w:pPr>
        <w:pStyle w:val="BodyText"/>
        <w:spacing w:after="40"/>
        <w:ind w:hanging="259" w:left="259"/>
      </w:pPr>
      <w:r>
        <w:rPr>
          <w:rFonts w:ascii="Times New Roman" w:hAnsi="Times New Roman" w:eastAsia="Times New Roman"/>
          <w:b w:val="0"/>
          <w:i w:val="0"/>
          <w:sz w:val="16"/>
          <w:lang w:val="tr-TR" w:eastAsia="tr-TR"/>
        </w:rPr>
        <w:t>[27] K. Schroeder, H. Trinh ve V. Pillitteri, "Measurement Guide for Information Security: Volume 2—Developing an Information Security Measurement Program," NIST SP 800-55 Vol. 2, Aralık 2024, doi: 10.6028/NIST.SP.800-55v2.</w:t>
      </w:r>
    </w:p>
    <w:p>
      <w:pPr>
        <w:pStyle w:val="BodyText"/>
        <w:spacing w:after="40"/>
        <w:ind w:hanging="259" w:left="259"/>
      </w:pPr>
      <w:r>
        <w:rPr>
          <w:rFonts w:ascii="Times New Roman" w:hAnsi="Times New Roman" w:eastAsia="Times New Roman"/>
          <w:b w:val="0"/>
          <w:i w:val="0"/>
          <w:sz w:val="16"/>
          <w:lang w:val="tr-TR" w:eastAsia="tr-TR"/>
        </w:rPr>
        <w:t>[28] ISO/IEC, "ISO/IEC 27004:2016—Information technology—Security techniques—Information security management—Monitoring, measurement, analysis and evaluation," 2. baskı, Aralık 2016. [Çevrimiçi]. Erişim: https://www.iso.org/standard/64120.html Erişim tarihi: 12 Temmuz 2026.</w:t>
      </w:r>
    </w:p>
    <w:p>
      <w:pPr>
        <w:pStyle w:val="BodyText"/>
        <w:spacing w:after="40"/>
        <w:ind w:hanging="259" w:left="259"/>
      </w:pPr>
      <w:r>
        <w:rPr>
          <w:rFonts w:ascii="Times New Roman" w:hAnsi="Times New Roman" w:eastAsia="Times New Roman"/>
          <w:b w:val="0"/>
          <w:i w:val="0"/>
          <w:sz w:val="16"/>
          <w:lang w:val="tr-TR" w:eastAsia="tr-TR"/>
        </w:rPr>
        <w:t>[29] B. Jordan, R. Piazza ve T. Darley, ed., "STIX Version 2.1," OASIS Standard, 10 Haziran 2021. [Çevrimiçi]. Erişim: https://docs.oasis-open.org/cti/stix/v2.1/os/stix-v2.1-os.html Erişim tarihi: 12 Temmuz 2026.</w:t>
      </w:r>
    </w:p>
    <w:p>
      <w:pPr>
        <w:pStyle w:val="BodyText"/>
        <w:spacing w:after="40"/>
        <w:ind w:hanging="259" w:left="259"/>
      </w:pPr>
      <w:r>
        <w:rPr>
          <w:rFonts w:ascii="Times New Roman" w:hAnsi="Times New Roman" w:eastAsia="Times New Roman"/>
          <w:b w:val="0"/>
          <w:i w:val="0"/>
          <w:sz w:val="16"/>
          <w:lang w:val="tr-TR" w:eastAsia="tr-TR"/>
        </w:rPr>
        <w:t>[30] B. Jordan, R. Piazza ve T. Darley, ed., "TAXII Version 2.1," OASIS Standard, 10 Haziran 2021. [Çevrimiçi]. Erişim: https://docs.oasis-open.org/cti/taxii/v2.1/os/taxii-v2.1-os.html Erişim tarihi: 12 Temmuz 2026.</w:t>
      </w:r>
    </w:p>
    <w:p>
      <w:pPr>
        <w:pStyle w:val="BodyText"/>
        <w:spacing w:after="40"/>
        <w:ind w:hanging="259" w:left="259"/>
      </w:pPr>
      <w:r>
        <w:rPr>
          <w:rFonts w:ascii="Times New Roman" w:hAnsi="Times New Roman" w:eastAsia="Times New Roman"/>
          <w:b w:val="0"/>
          <w:i w:val="0"/>
          <w:sz w:val="16"/>
          <w:lang w:val="tr-TR" w:eastAsia="tr-TR"/>
        </w:rPr>
        <w:t>[31] M. Franz, C. T. Lopes, G. Huck, Y. Dong, O. Sumer ve G. D. Bader, "Cytoscape.js: a graph theory library for visualisation and analysis," Bioinformatics, c. 32, no. 2, ss. 309–311, 2016, doi: 10.1093/bioinformatics/btv557.</w:t>
      </w:r>
    </w:p>
    <w:p>
      <w:pPr>
        <w:pStyle w:val="BodyText"/>
        <w:spacing w:after="40"/>
        <w:ind w:hanging="259" w:left="259"/>
      </w:pPr>
      <w:r>
        <w:rPr>
          <w:rFonts w:ascii="Times New Roman" w:hAnsi="Times New Roman" w:eastAsia="Times New Roman"/>
          <w:b w:val="0"/>
          <w:i w:val="0"/>
          <w:sz w:val="16"/>
          <w:lang w:val="tr-TR" w:eastAsia="tr-TR"/>
        </w:rPr>
        <w:t>[32] Mermaid, "About Mermaid," Mermaid Documentation. [Çevrimiçi]. Erişim: https://mermaid.js.org/intro/ Erişim tarihi: 12 Temmuz 2026.</w:t>
      </w:r>
    </w:p>
    <w:sectPr w:rsidR="00FC693F" w:rsidRPr="0006063C" w:rsidSect="00034616">
      <w:type w:val="continuous"/>
      <w:pgSz w:w="11906" w:h="16838"/>
      <w:pgMar w:top="1077" w:right="935" w:bottom="1440" w:left="935"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40" w:lineRule="auto"/>
    </w:pPr>
    <w:rPr>
      <w:rFonts w:ascii="Times New Roman" w:hAnsi="Times New Roman" w:eastAsia="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60" w:line="240" w:lineRule="auto"/>
    </w:pPr>
    <w:rPr>
      <w:rFonts w:ascii="Times New Roman" w:hAnsi="Times New Roman" w:eastAsia="Times New Roman"/>
      <w:sz w:val="20"/>
    </w:rPr>
  </w:style>
  <w:style w:type="paragraph" w:customStyle="1" w:styleId="Keywords">
    <w:name w:val="Keywords"/>
    <w:pPr>
      <w:spacing w:after="60" w:line="240" w:lineRule="auto"/>
    </w:pPr>
    <w:rPr>
      <w:rFonts w:ascii="Times New Roman" w:hAnsi="Times New Roman" w:eastAsia="Times New Roman"/>
      <w:sz w:val="20"/>
    </w:rPr>
  </w:style>
  <w:style w:type="paragraph" w:customStyle="1" w:styleId="papertitle">
    <w:name w:val="paper title"/>
    <w:pPr>
      <w:jc w:val="center"/>
    </w:pPr>
    <w:rPr>
      <w:rFonts w:ascii="Times New Roman" w:hAnsi="Times New Roman" w:eastAsia="Times New Roman"/>
      <w:sz w:val="48"/>
    </w:rPr>
  </w:style>
  <w:style w:type="paragraph" w:customStyle="1" w:styleId="Author">
    <w:name w:val="Author"/>
    <w:pPr>
      <w:jc w:val="center"/>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SACI: SIEM Telemetrisi ve Tehdit İstihbaratıyla Açıklanabilir Graf Tabanlı Saldırı Yüzeyi Görünürlük Skorlaması</dc:title>
  <dc:subject>SACI graph-based SIEM visibility scoring</dc:subject>
  <dc:creator>Ismet Arslan</dc:creator>
  <cp:keywords>SACI, SIEM, Wazuh, kanıt grafı, MITRE ATT&amp;CK, siber tehdit istihbaratı, görünürlük skoru, denetlenebilirlik</cp:keywords>
  <dc:description>Final IDAP'26 manuscript synchronized with the SACI evidence package.</dc:description>
  <cp:lastModifiedBy>Ismet Arslan</cp:lastModifiedBy>
  <cp:revision>1</cp:revision>
  <dcterms:created xsi:type="dcterms:W3CDTF">2013-12-23T23:15:00Z</dcterms:created>
  <dcterms:modified xsi:type="dcterms:W3CDTF">2026-07-12T00:36:36Z</dcterms:modified>
  <cp:category/>
  <dc:language>tr-TR</dc:language>
</cp:coreProperties>
</file>