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Pinewood Energy tariff review</w:t>
      </w:r>
    </w:p>
    <w:p>
      <w:pPr/>
      <w:r>
        <w:t xml:space="preserve">This document is fictional and was written only to test FilmDeck. All names and figures are made up.</w:t>
      </w:r>
    </w:p>
    <w:p>
      <w:pPr>
        <w:pStyle w:val="Heading1"/>
      </w:pPr>
      <w:r>
        <w:t xml:space="preserve">Tariffs</w:t>
      </w:r>
    </w:p>
    <w:p>
      <w:pPr/>
      <w:r>
        <w:t xml:space="preserve">The table compares the three household tariffs offered this year.</w:t>
      </w:r>
    </w:p>
    <w:tbl>
      <w:tblPr/>
      <w:tblGrid/>
      <w:tr>
        <w:tc>
          <w:p>
            <w:pPr/>
            <w:r>
              <w:t xml:space="preserve">Tariff</w:t>
            </w:r>
          </w:p>
        </w:tc>
        <w:tc>
          <w:p>
            <w:pPr/>
            <w:r>
              <w:t xml:space="preserve">Unit price (cents)</w:t>
            </w:r>
          </w:p>
        </w:tc>
        <w:tc>
          <w:p>
            <w:pPr/>
            <w:r>
              <w:t xml:space="preserve">Standing charge ($/day)</w:t>
            </w:r>
          </w:p>
        </w:tc>
        <w:tc>
          <w:p>
            <w:pPr/>
            <w:r>
              <w:t xml:space="preserve">Customers</w:t>
            </w:r>
          </w:p>
        </w:tc>
      </w:tr>
      <w:tr>
        <w:tc>
          <w:p>
            <w:pPr/>
            <w:r>
              <w:t xml:space="preserve">Standard</w:t>
            </w:r>
          </w:p>
        </w:tc>
        <w:tc>
          <w:p>
            <w:pPr/>
            <w:r>
              <w:t xml:space="preserve">24.5</w:t>
            </w:r>
          </w:p>
        </w:tc>
        <w:tc>
          <w:p>
            <w:pPr/>
            <w:r>
              <w:t xml:space="preserve">0.62</w:t>
            </w:r>
          </w:p>
        </w:tc>
        <w:tc>
          <w:p>
            <w:pPr/>
            <w:r>
              <w:t xml:space="preserve">41,200</w:t>
            </w:r>
          </w:p>
        </w:tc>
      </w:tr>
      <w:tr>
        <w:tc>
          <w:p>
            <w:pPr/>
            <w:r>
              <w:t xml:space="preserve">Fixed</w:t>
            </w:r>
          </w:p>
        </w:tc>
        <w:tc>
          <w:p>
            <w:pPr/>
            <w:r>
              <w:t xml:space="preserve">22.0</w:t>
            </w:r>
          </w:p>
        </w:tc>
        <w:tc>
          <w:p>
            <w:pPr/>
            <w:r>
              <w:t xml:space="preserve">0.70</w:t>
            </w:r>
          </w:p>
        </w:tc>
        <w:tc>
          <w:p>
            <w:pPr/>
            <w:r>
              <w:t xml:space="preserve">18,650</w:t>
            </w:r>
          </w:p>
        </w:tc>
      </w:tr>
      <w:tr>
        <w:tc>
          <w:p>
            <w:pPr/>
            <w:r>
              <w:t xml:space="preserve">Green</w:t>
            </w:r>
          </w:p>
        </w:tc>
        <w:tc>
          <w:p>
            <w:pPr/>
            <w:r>
              <w:t xml:space="preserve">26.8</w:t>
            </w:r>
          </w:p>
        </w:tc>
        <w:tc>
          <w:p>
            <w:pPr/>
            <w:r>
              <w:t xml:space="preserve">0.58</w:t>
            </w:r>
          </w:p>
        </w:tc>
        <w:tc>
          <w:p>
            <w:pPr/>
            <w:r>
              <w:t xml:space="preserve">9,300</w:t>
            </w:r>
          </w:p>
        </w:tc>
      </w:tr>
    </w:tbl>
    <w:p>
      <w:pPr>
        <w:pStyle w:val="Heading1"/>
      </w:pPr>
      <w:r>
        <w:t xml:space="preserve">Complaints</w:t>
      </w:r>
    </w:p>
    <w:tbl>
      <w:tblPr/>
      <w:tblGrid/>
      <w:tr>
        <w:tc>
          <w:p>
            <w:pPr/>
            <w:r>
              <w:t xml:space="preserve">Quarter</w:t>
            </w:r>
          </w:p>
        </w:tc>
        <w:tc>
          <w:p>
            <w:pPr/>
            <w:r>
              <w:t xml:space="preserve">Complaints</w:t>
            </w:r>
          </w:p>
        </w:tc>
        <w:tc>
          <w:p>
            <w:pPr/>
            <w:r>
              <w:t xml:space="preserve">Resolved in 5 days</w:t>
            </w:r>
          </w:p>
        </w:tc>
      </w:tr>
      <w:tr>
        <w:tc>
          <w:p>
            <w:pPr/>
            <w:r>
              <w:t xml:space="preserve">Q1</w:t>
            </w:r>
          </w:p>
        </w:tc>
        <w:tc>
          <w:p>
            <w:pPr/>
            <w:r>
              <w:t xml:space="preserve">312</w:t>
            </w:r>
          </w:p>
        </w:tc>
        <w:tc>
          <w:p>
            <w:pPr/>
            <w:r>
              <w:t xml:space="preserve">71%</w:t>
            </w:r>
          </w:p>
        </w:tc>
      </w:tr>
      <w:tr>
        <w:tc>
          <w:p>
            <w:pPr/>
            <w:r>
              <w:t xml:space="preserve">Q2</w:t>
            </w:r>
          </w:p>
        </w:tc>
        <w:tc>
          <w:p>
            <w:pPr/>
            <w:r>
              <w:t xml:space="preserve">268</w:t>
            </w:r>
          </w:p>
        </w:tc>
        <w:tc>
          <w:p>
            <w:pPr/>
            <w:r>
              <w:t xml:space="preserve">78%</w:t>
            </w:r>
          </w:p>
        </w:tc>
      </w:tr>
      <w:tr>
        <w:tc>
          <w:p>
            <w:pPr/>
            <w:r>
              <w:t xml:space="preserve">Q3</w:t>
            </w:r>
          </w:p>
        </w:tc>
        <w:tc>
          <w:p>
            <w:pPr/>
            <w:r>
              <w:t xml:space="preserve">204</w:t>
            </w:r>
          </w:p>
        </w:tc>
        <w:tc>
          <w:p>
            <w:pPr/>
            <w:r>
              <w:t xml:space="preserve">85%</w:t>
            </w:r>
          </w:p>
        </w:tc>
      </w:tr>
    </w:tbl>
    <w:p>
      <w:pPr/>
      <w:r>
        <w:t xml:space="preserve">Complaints fell by 35% between the first and third quarter.</w:t>
      </w:r>
    </w:p>
    <w:p>
      <w:pPr>
        <w:pStyle w:val="Heading1"/>
      </w:pPr>
      <w:r>
        <w:t xml:space="preserve">Outlook</w:t>
      </w:r>
    </w:p>
    <w:p>
      <w:pPr/>
      <w:r>
        <w:t xml:space="preserve">The company will move 10,000 Standard customers to a cheaper tariff if they ask.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docProps/core.xml><?xml version="1.0" encoding="utf-8"?>
<cp:coreProperties xmlns:cp="http://schemas.openxmlformats.org/package/2006/metadata/core-properties" xmlns:dc="http://purl.org/dc/elements/1.1/">
  <dc:title>Pinewood Energy tariff review (fictional)</dc:title>
</cp:coreProperties>
</file>