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Main Heading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paragraph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bold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i/>
          <w:spacing w:val="0"/>
        </w:rPr>
        <w:t xml:space="preserve">italic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 link</w:t>
      </w:r>
      <w:r>
        <w:rPr>
          <w:rFonts w:ascii="Times" w:hAnsi="Times" w:cs="Times"/>
          <w:sz w:val="24"/>
          <w:sz-cs w:val="24"/>
          <w:spacing w:val="0"/>
        </w:rPr>
        <w:t xml:space="preserve">. Ümlauts &amp; ünïcödé — “quotes”.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Lists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First bullet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Second bullet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Nested bullet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Two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Three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Table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Name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Value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alpha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merged cell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Image: </w:t>
      </w:r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