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2): </w:t>
      </w:r>
      <w:r>
        <w:rPr>
          <w:color w:val="000000"/>
        </w:rPr>
        <w:t>Пророка Твого, Софонії, пам’ять, Господи, празнуємо.* Тому молимо Тебе: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000000"/>
        </w:rPr>
        <w:t xml:space="preserve"> Явився єси світлосяйний Божественним духом,* пророче Софонію, Боже явління провістив:* радуйся вельми, дочко Сіонова Єрусалимська,* проповідуй: ось Цар твій гряде, який спасає.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2): </w:t>
      </w:r>
      <w:r>
        <w:rPr>
          <w:color w:val="000000"/>
        </w:rPr>
        <w:t>Пророка Твого, Софонії, пам’ять, Господи, празнуємо.* Тому молимо Тебе: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000000"/>
        </w:rPr>
        <w:t xml:space="preserve"> Явився єси світлосяйний Божественним духом,* пророче Софонію, Боже явління провістив:* радуйся вельми, дочко Сіонова Єрусалимська,* проповідуй: ось Цар твій гряде, який спасає.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