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  <w:highlight w:val="white"/>
        </w:rPr>
        <w:t>Тропар (г. 4):</w:t>
      </w:r>
      <w:r>
        <w:rPr>
          <w:color w:val="FF0000"/>
          <w:highlight w:val="white"/>
        </w:rPr>
        <w:t xml:space="preserve"> </w:t>
      </w:r>
      <w:r>
        <w:rPr>
          <w:highlight w:val="white"/>
        </w:rPr>
        <w:t>Побідоносному Воскресінню* співзвучною названа істинно була ти,* мученице Христова,* перемогу над ворогами здобула ти через терпіння мук,* задля Христа, жениха Твого улюбленого,* моли Його, щоб спаслись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  <w:highlight w:val="white"/>
        </w:rPr>
        <w:t xml:space="preserve">Кондак (г. 2): </w:t>
      </w:r>
      <w:r>
        <w:rPr>
          <w:highlight w:val="white"/>
        </w:rPr>
        <w:t>У спокусах і скорботах перебуваючі,* прибігаючи до храму твого,* цінні дари отримують від божественної благодаті, яка у тобі живе,* Анастасіє, бо ти завжди світові виливаєш зцілення.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  <w:highlight w:val="white"/>
        </w:rPr>
        <w:t>Тропар (г. 4):</w:t>
      </w:r>
      <w:r>
        <w:rPr>
          <w:color w:val="FF0000"/>
          <w:highlight w:val="white"/>
        </w:rPr>
        <w:t xml:space="preserve"> </w:t>
      </w:r>
      <w:r>
        <w:rPr>
          <w:highlight w:val="white"/>
        </w:rPr>
        <w:t>Побідоносному Воскресінню* співзвучною названа істинно була ти,* мученице Христова,* перемогу над ворогами здобула ти через терпіння мук,* задля Христа, жениха Твого улюбленого,* моли Його, щоб спаслись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  <w:highlight w:val="white"/>
        </w:rPr>
        <w:t xml:space="preserve">Кондак (г. 2): </w:t>
      </w:r>
      <w:r>
        <w:rPr>
          <w:highlight w:val="white"/>
        </w:rPr>
        <w:t>У спокусах і скорботах перебуваючі,* прибігаючи до храму твого,* цінні дари отримують від божественної благодаті, яка у тобі живе,* Анастасіє, бо ти завжди світові виливаєш зцілення.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