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в пам'яті святих твоїх прославляєшся, Христе Боже,* і вислухуєш молитви їхні,* пошли нам велику милість.</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мою!* Подай мені, Чоловіколюбче,* в цих святих днях посту* сокрушення й ізбавлення від злих учинків.</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Чоловіколюбче, учинив безсмертними,* і знову привів до колишнього життя насолоди.* Тому тебе повсякчас благодарно славимо.</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Засяяла вірним* ясніше від сонця* пам’ять твоя світлосяйна,* що творіння осяює божественним блиском,* Василію блаженний,* і проганяє морок пристрастей і демонську пітьму.* Тому ублажаємо тебе і щорічно вшановуємо* святе твоє успення,* Спаса прославляючи.</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Засяяла вірним* ясніше від сонця* пам’ять твоя світлосяйна,* що творіння осяює божественним блиском,* Василію блаженний,* і проганяє морок пристрастей і демонську пітьму.* Тому ублажаємо тебе і щорічно вшановуємо* святе твоє успення,* Спаса прославляючи.</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Стрілами слів твоїх* безаконних полки розгромив єси, всеблаженний,* і хори ангельські радісно підхопили торжественний голос,* що подали небесні хмари,* бачачи подвигів твоїх твердість.* Тому з ними радіючи,* з вірою почитаємо тебе* як світило всесвітнє* і ревного заступника.</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Мудро здобуваючи* за земне – небесне,* за минуще – непроминальне,* за тлінне – нетлінне,* в обмін за людську славу – Божу,* і за вигнання і різноманітні випроби – неописанне словом Боже Царство,* в ньому ти й радієш із безтілесними, Василію,* – тож молися за всіх,* що з вірою благохвалять тебе. </w:t>
      </w:r>
      <w:r w:rsidDel="00000000" w:rsidR="00000000" w:rsidRPr="00000000">
        <w:rPr>
          <w:rtl w:val="0"/>
        </w:rPr>
      </w:r>
    </w:p>
    <w:p w:rsidR="00000000" w:rsidDel="00000000" w:rsidP="00000000" w:rsidRDefault="00000000" w:rsidRPr="00000000" w14:paraId="00000127">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Меч прошив твоє серце, Пречиста,* коли ти побачила на хресті Сина свого та й закликала:* Не лишай мене бездітною, Сину мій і Боже мій,* що зберіг мене й після народження Дівою.</w:t>
      </w: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8):</w:t>
      </w:r>
      <w:r w:rsidDel="00000000" w:rsidR="00000000" w:rsidRPr="00000000">
        <w:rPr>
          <w:rFonts w:ascii="Times New Roman" w:cs="Times New Roman" w:eastAsia="Times New Roman" w:hAnsi="Times New Roman"/>
          <w:sz w:val="24"/>
          <w:szCs w:val="24"/>
          <w:rtl w:val="0"/>
        </w:rPr>
        <w:t xml:space="preserve"> Помоліться і воздайте Господові Богу нашому </w:t>
      </w:r>
      <w:r w:rsidDel="00000000" w:rsidR="00000000" w:rsidRPr="00000000">
        <w:rPr>
          <w:rFonts w:ascii="Times New Roman" w:cs="Times New Roman" w:eastAsia="Times New Roman" w:hAnsi="Times New Roman"/>
          <w:i w:val="1"/>
          <w:color w:val="ff0000"/>
          <w:sz w:val="24"/>
          <w:szCs w:val="24"/>
          <w:rtl w:val="0"/>
        </w:rPr>
        <w:t xml:space="preserve">(Пс. 75,12).</w:t>
      </w:r>
      <w:r w:rsidDel="00000000" w:rsidR="00000000" w:rsidRPr="00000000">
        <w:rPr>
          <w:rtl w:val="0"/>
        </w:rPr>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Відомий у Юдеї Бог, в Ізраїлі велике ім'я Його </w:t>
      </w:r>
      <w:r w:rsidDel="00000000" w:rsidR="00000000" w:rsidRPr="00000000">
        <w:rPr>
          <w:rFonts w:ascii="Times New Roman" w:cs="Times New Roman" w:eastAsia="Times New Roman" w:hAnsi="Times New Roman"/>
          <w:i w:val="1"/>
          <w:color w:val="ff0000"/>
          <w:sz w:val="24"/>
          <w:szCs w:val="24"/>
          <w:rtl w:val="0"/>
        </w:rPr>
        <w:t xml:space="preserve">(Пс. 75,2).</w:t>
      </w:r>
      <w:r w:rsidDel="00000000" w:rsidR="00000000" w:rsidRPr="00000000">
        <w:rPr>
          <w:rtl w:val="0"/>
        </w:rPr>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Del="00000000" w:rsidR="00000000" w:rsidRPr="00000000">
        <w:rPr>
          <w:rFonts w:ascii="Times New Roman" w:cs="Times New Roman" w:eastAsia="Times New Roman" w:hAnsi="Times New Roman"/>
          <w:i w:val="1"/>
          <w:color w:val="ff0000"/>
          <w:sz w:val="24"/>
          <w:szCs w:val="24"/>
          <w:rtl w:val="0"/>
        </w:rPr>
        <w:t xml:space="preserve">(Бут. 10,32 – 11,9)</w:t>
      </w:r>
      <w:r w:rsidDel="00000000" w:rsidR="00000000" w:rsidRPr="00000000">
        <w:rPr>
          <w:rtl w:val="0"/>
        </w:rPr>
      </w:r>
    </w:p>
    <w:p w:rsidR="00000000" w:rsidDel="00000000" w:rsidP="00000000" w:rsidRDefault="00000000" w:rsidRPr="00000000" w14:paraId="000001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8):</w:t>
      </w:r>
      <w:r w:rsidDel="00000000" w:rsidR="00000000" w:rsidRPr="00000000">
        <w:rPr>
          <w:rFonts w:ascii="Times New Roman" w:cs="Times New Roman" w:eastAsia="Times New Roman" w:hAnsi="Times New Roman"/>
          <w:sz w:val="24"/>
          <w:szCs w:val="24"/>
          <w:rtl w:val="0"/>
        </w:rPr>
        <w:t xml:space="preserve"> Голосом моїм до Господа я візвав, голосом моїм до Господа, і вислухав мене. </w:t>
      </w:r>
      <w:r w:rsidDel="00000000" w:rsidR="00000000" w:rsidRPr="00000000">
        <w:rPr>
          <w:rFonts w:ascii="Times New Roman" w:cs="Times New Roman" w:eastAsia="Times New Roman" w:hAnsi="Times New Roman"/>
          <w:i w:val="1"/>
          <w:color w:val="ff0000"/>
          <w:sz w:val="24"/>
          <w:szCs w:val="24"/>
          <w:rtl w:val="0"/>
        </w:rPr>
        <w:t xml:space="preserve">(Пс. 76, 2).</w:t>
      </w:r>
      <w:r w:rsidDel="00000000" w:rsidR="00000000" w:rsidRPr="00000000">
        <w:rPr>
          <w:rtl w:val="0"/>
        </w:rPr>
      </w:r>
    </w:p>
    <w:p w:rsidR="00000000" w:rsidDel="00000000" w:rsidP="00000000" w:rsidRDefault="00000000" w:rsidRPr="00000000" w14:paraId="0000013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У день скорботи моєї шукав я Бога. </w:t>
      </w:r>
      <w:r w:rsidDel="00000000" w:rsidR="00000000" w:rsidRPr="00000000">
        <w:rPr>
          <w:rFonts w:ascii="Times New Roman" w:cs="Times New Roman" w:eastAsia="Times New Roman" w:hAnsi="Times New Roman"/>
          <w:i w:val="1"/>
          <w:color w:val="ff0000"/>
          <w:sz w:val="24"/>
          <w:szCs w:val="24"/>
          <w:rtl w:val="0"/>
        </w:rPr>
        <w:t xml:space="preserve">(Пс. 76, 3).</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Як здійсниться бажання, душа радіє; від зла відвертатись – то для дурних осоружно. Хто ходить з мудрими, сам стає мудрим; а хто приятелює з дурним, – той зледачіє. Грішних переслідує нещастя, а добро –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карає. Праведний їсть собі досхочу, а живіт злих терпітиме нестачу. Мудрість будує свій будинок, а дурнота його руйнує власними руками. Хто ходить просто, Господа боїться; чиї ж криві дороги, той ним гордує. в устах дурного –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 </w:t>
      </w:r>
      <w:r w:rsidDel="00000000" w:rsidR="00000000" w:rsidRPr="00000000">
        <w:rPr>
          <w:rFonts w:ascii="Times New Roman" w:cs="Times New Roman" w:eastAsia="Times New Roman" w:hAnsi="Times New Roman"/>
          <w:i w:val="1"/>
          <w:color w:val="ff0000"/>
          <w:sz w:val="24"/>
          <w:szCs w:val="24"/>
          <w:rtl w:val="0"/>
        </w:rPr>
        <w:t xml:space="preserve">(Прип. 13,19 - 14,6)</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7">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преподобного й ісповідника Василія, єпископа Парійського,,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11">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