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8):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  <w:highlight w:val="white"/>
        </w:rPr>
        <w:t>Препрославлений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Ти, Христе Боже наш,* світила на землі – отців наших оснував Ти* і ними до істинної віри всіх нас направив Ти.* </w:t>
      </w:r>
      <w:r>
        <w:rPr>
          <w:rFonts w:ascii="Times New Roman" w:hAnsi="Times New Roman"/>
          <w:color w:val="333333"/>
          <w:sz w:val="24"/>
          <w:highlight w:val="white"/>
        </w:rPr>
        <w:t>Багатомилосердний</w:t>
      </w:r>
      <w:r>
        <w:rPr>
          <w:rFonts w:ascii="Times New Roman" w:hAnsi="Times New Roman"/>
          <w:color w:val="333333"/>
          <w:sz w:val="24"/>
          <w:highlight w:val="white"/>
        </w:rPr>
        <w:t>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Ти – із Отця несказанно возсіявший Син* – з Діви родився подвійний єством.* Його видячи, не відрікаємося виду зображення,* але Його, благочесно написавши, вірно почитаємо.* I ради того Церква, держачи істинну віру,* цілує ікону вочоловічення Христового.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