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</w:rPr>
        <w:t>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</w:rPr>
        <w:t>ім'я, якого є храм</w:t>
      </w:r>
      <w:r>
        <w:rPr>
          <w:rFonts w:ascii="Times New Roman" w:hAnsi="Times New Roman"/>
          <w:sz w:val="24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Слава святій, одноістотній, животворящій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>
        <w:rPr>
          <w:rFonts w:ascii="Times New Roman" w:hAnsi="Times New Roman"/>
          <w:color w:val="000000"/>
          <w:sz w:val="24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</w:t>
      </w:r>
      <w:r>
        <w:rPr>
          <w:rFonts w:ascii="Times New Roman" w:hAnsi="Times New Roman"/>
          <w:color w:val="000000"/>
          <w:sz w:val="24"/>
        </w:rPr>
        <w:t xml:space="preserve">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1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>
        <w:rPr>
          <w:rFonts w:ascii="Times New Roman" w:hAnsi="Times New Roman"/>
          <w:sz w:val="24"/>
          <w:u w:val="single"/>
        </w:rPr>
        <w:t>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148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1: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</w:t>
      </w:r>
      <w:r>
        <w:rPr>
          <w:rFonts w:ascii="Times New Roman" w:hAnsi="Times New Roman"/>
          <w:sz w:val="24"/>
        </w:rPr>
        <w:t>ині і повсякчас,* і на віки віків. 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</w:rPr>
        <w:t>ім'я, якого є храм</w:t>
      </w:r>
      <w:r>
        <w:rPr>
          <w:rFonts w:ascii="Times New Roman" w:hAnsi="Times New Roman"/>
          <w:sz w:val="24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