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Як безцінну красу́ вну́трішньої богоо́бразної ски́нії,* так зо́внішню яви́в єси́ ве́лич свято́го хра́му сла́ви Твоє́ї, Го́споди.* Утверди́ його́ повік-віку* і прийми́ моли́твами Богоро́диці на́ші блага́ння,* що їх у ньо́му безнаста́нно Тобі прино́симо,* всіх Життя́ і Воскресіння.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</w:t>
      </w:r>
      <w:r>
        <w:rPr>
          <w:rFonts w:ascii="Times New Roman" w:hAnsi="Times New Roman"/>
          <w:sz w:val="24"/>
        </w:rPr>
        <w:t>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Як безцінну красу́ вну́трішньої богоо́бразної ски́нії,* так зо́внішню яви́в єси́ ве́лич свято́го хра́му сла́ви Твоє́ї, Го́споди.* Утверди́ його́ повік-віку* і прийми́ моли́твами Богоро́диці на́ші блага́ння,* що їх у ньо́му безнаста́нно Тобі прино́симо,* всіх Життя́ і Воскресіння.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Собо́ри вірних ся́ють у собо́рі Воскресіння,* як многосвітлі зо́рі на не́бі,* і мо́лячись у ньо́му, взива́ють:* «Цей дім утверди́, Го́споди!»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