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Апостоли святі,* моліть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Вартоломея (г. 4): </w:t>
      </w:r>
      <w:r>
        <w:rPr>
          <w:rFonts w:ascii="Times New Roman" w:hAnsi="Times New Roman"/>
          <w:sz w:val="24"/>
        </w:rPr>
        <w:t>Ти явився сонцем Церкви,* яке просвічує світлістю науки та страшними чудами тих,* які тебе прославляють, Вартоломею, Господній апостоле.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Апостоли святі,* моліть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Вартоломея (г. 4): </w:t>
      </w:r>
      <w:r>
        <w:rPr>
          <w:rFonts w:ascii="Times New Roman" w:hAnsi="Times New Roman"/>
          <w:sz w:val="24"/>
        </w:rPr>
        <w:t>Ти явився сонцем Церкви,* яке просвічує світлістю науки та страшними чудами тих,* які тебе прославляють, Вартоломею, Господній апостоле.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