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Тріоді (г. 3): </w:t>
      </w:r>
      <w:r>
        <w:rPr>
          <w:rFonts w:ascii="Times New Roman" w:hAnsi="Times New Roman"/>
          <w:color w:val="333333"/>
          <w:sz w:val="24"/>
        </w:rPr>
        <w:t>Зітхання митарські принесім Господеві* і до Нього приступім, грішні, як до Владики;* Він бо хоче спасення всіх людей,* Він відпущення подає всім, що каються,* бо ради нас Він воплотився – Бог сущий, Отцю собезначальний.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Тріоді (г. 3): </w:t>
      </w:r>
      <w:r>
        <w:rPr>
          <w:rFonts w:ascii="Times New Roman" w:hAnsi="Times New Roman"/>
          <w:color w:val="333333"/>
          <w:sz w:val="24"/>
        </w:rPr>
        <w:t>Зітхання митарські принесім Господеві* і до Нього приступім, грішні, як до Владики;* Він бо хоче спасення всіх людей,* Він відпущення подає всім, що каються,* бо ради нас Він воплотився – Бог сущий, Отцю собезначальний.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Тріоді (г. 3): </w:t>
      </w:r>
      <w:r>
        <w:rPr>
          <w:rFonts w:ascii="Times New Roman" w:hAnsi="Times New Roman"/>
          <w:color w:val="333333"/>
          <w:sz w:val="24"/>
        </w:rPr>
        <w:t>Зітхання митарські принесім Господеві* і до Нього приступім, грішні, як до Владики;* Він бо хоче спасення всіх людей,* Він відпущення подає всім, що каються,* бо ради нас Він воплотився – Бог сущий, Отцю собезначальний.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Тріоді (г. 3): </w:t>
      </w:r>
      <w:r>
        <w:rPr>
          <w:rFonts w:ascii="Times New Roman" w:hAnsi="Times New Roman"/>
          <w:color w:val="333333"/>
          <w:sz w:val="24"/>
        </w:rPr>
        <w:t>Зітхання митарські принесім Господеві* і до Нього приступім, грішні, як до Владики;* Він бо хоче спасення всіх людей,* Він відпущення подає всім, що каються,* бо ради нас Він воплотився – Бог сущий, Отцю собезначальний.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