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якого є храм, і святого мученика Маманта, преподобного отця нашого Івана Посника, патріарха Царгородського, і всіх святих - помилує і спасе нас як благий і людинолюбний.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людина,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Мученик Твій, Господи, </w:t>
      </w:r>
      <w:r>
        <w:rPr>
          <w:rFonts w:ascii="Times New Roman" w:hAnsi="Times New Roman"/>
          <w:sz w:val="24"/>
        </w:rPr>
        <w:t>Мамант</w:t>
      </w:r>
      <w:r>
        <w:rPr>
          <w:rFonts w:ascii="Times New Roman" w:hAnsi="Times New Roman"/>
          <w:sz w:val="24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 xml:space="preserve">Жезлом, від Бога тобі даним, святий,* ти пас людей своїх на пасовиськах життєдайних.* Звірів же невидимих і невгамовних скинув ти під ноги тих, що тебе оспівують.* Бо всі вони мають тебе за ревного заступника в бідах, </w:t>
      </w:r>
      <w:r>
        <w:rPr>
          <w:rFonts w:ascii="Times New Roman" w:hAnsi="Times New Roman"/>
          <w:sz w:val="24"/>
        </w:rPr>
        <w:t>Маманте</w:t>
      </w:r>
      <w:r>
        <w:rPr>
          <w:rFonts w:ascii="Times New Roman" w:hAnsi="Times New Roman"/>
          <w:sz w:val="24"/>
        </w:rPr>
        <w:t>.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якого є храм, і святого мученика Маманта, преподобного отця нашого Івана Посника, патріарха Царгородського, і всіх святих - помилує і спасе нас як благий і людинолюбний.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людинолюбний,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якого є храм, і святого мученика Маманта, преподобного отця нашого Івана Посника, патріарха Царгородського, і всіх святих - помилує і спасе нас як благий і людинолюбний.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людина,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людина,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Йоане,* Моли Христа Бога, щоб спаслися душі наші.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людинолюбство,*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 xml:space="preserve">Божественною посудиною стриманості,* скарбом благочестя, який неможливо викрасти,* показав ти себе, Йоане блаженний,* бездоганно прожив життя своє,* збагативши потребуючих милостинею, отче преподобний.* Моли Христа Бога, щоб дарував нам велику милість. 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якого є храм, і святого мученика Маманта, преподобного отця нашого Івана Посника, патріарха Царгородського, і всіх святих - помилує і спасе нас як благий і людинолюбний.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