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I звичаїв апостолів причасником і </w:t>
      </w:r>
      <w:r>
        <w:rPr>
          <w:rFonts w:ascii="Times New Roman" w:hAnsi="Times New Roman"/>
          <w:sz w:val="24"/>
          <w:highlight w:val="white"/>
        </w:rPr>
        <w:t>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Благочесно у с</w:t>
      </w:r>
      <w:r>
        <w:rPr>
          <w:rFonts w:ascii="Times New Roman" w:hAnsi="Times New Roman"/>
          <w:sz w:val="24"/>
        </w:rPr>
        <w:t>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наші.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I звичаїв апостолів причасником і </w:t>
      </w:r>
      <w:r>
        <w:rPr>
          <w:rFonts w:ascii="Times New Roman" w:hAnsi="Times New Roman"/>
          <w:sz w:val="24"/>
          <w:highlight w:val="white"/>
        </w:rPr>
        <w:t>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Благочесно у с</w:t>
      </w:r>
      <w:r>
        <w:rPr>
          <w:rFonts w:ascii="Times New Roman" w:hAnsi="Times New Roman"/>
          <w:sz w:val="24"/>
        </w:rPr>
        <w:t>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наші.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