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Пророче і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безгласність* розрішилися славним і чесним твоїм різдвом* – і </w:t>
      </w:r>
      <w:r>
        <w:rPr>
          <w:rFonts w:ascii="Times New Roman" w:hAnsi="Times New Roman"/>
          <w:sz w:val="24"/>
        </w:rPr>
        <w:t>воплочення</w:t>
      </w:r>
      <w:r>
        <w:rPr>
          <w:rFonts w:ascii="Times New Roman" w:hAnsi="Times New Roman"/>
          <w:sz w:val="24"/>
        </w:rPr>
        <w:t xml:space="preserve"> Сина Божого світові проповідується.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