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мученика Харалампія,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color w:val="000000"/>
          <w:sz w:val="24"/>
        </w:rPr>
        <w:t>Вживаючись у благодать священства, славний,* церкву світло прикрасив ти стражданням божественним,* яке за Христа прийняв єси мужньо радуючись, Харлампі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 чесний,* світильнику всесвітній, який осяює краї,* як непереможний.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мученика Харалампія,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мученика Харалампія,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color w:val="000000"/>
          <w:sz w:val="24"/>
        </w:rPr>
        <w:t>Вживаючись у благодать священства, славний,* церкву світло прикрасив ти стражданням божественним,* яке за Христа прийняв єси мужньо радуючись, Харлампі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 чесний,* світильнику всесвітній, який осяює краї,* як непереможний.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мученика Харалампія,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