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Покликаний був ти): </w:t>
      </w:r>
      <w:r>
        <w:rPr>
          <w:rFonts w:ascii="Times New Roman" w:hAnsi="Times New Roman"/>
          <w:sz w:val="24"/>
        </w:rPr>
        <w:t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</w:t>
      </w:r>
      <w:r>
        <w:rPr>
          <w:rFonts w:ascii="Times New Roman" w:hAnsi="Times New Roman"/>
          <w:sz w:val="24"/>
          <w:u w:val="single"/>
        </w:rPr>
        <w:t>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ніневітяни згрішили,* послав ти, Господи, Йону, щоб їм проповідував;* вони ж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</w:rPr>
        <w:t>покаявшись, злобу в жаль змінили* і визволились від погубного гніву.* Пошли, Людинолюбче,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</w:t>
      </w:r>
      <w:r>
        <w:rPr>
          <w:rFonts w:ascii="Times New Roman" w:hAnsi="Times New Roman"/>
          <w:sz w:val="24"/>
          <w:u w:val="single"/>
        </w:rPr>
        <w:t>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Людинолюбче;*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усіх бід охороняй слуг твоїх, благословенна Богородице,* щоб славили ми тебе,* –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