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</w:t>
      </w:r>
      <w:r>
        <w:rPr>
          <w:rFonts w:ascii="Times New Roman" w:hAnsi="Times New Roman"/>
          <w:sz w:val="24"/>
        </w:rPr>
        <w:t>Мамант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</w:t>
      </w:r>
      <w:r>
        <w:rPr>
          <w:rFonts w:ascii="Times New Roman" w:hAnsi="Times New Roman"/>
          <w:sz w:val="24"/>
        </w:rPr>
        <w:t>Маманте</w:t>
      </w:r>
      <w:r>
        <w:rPr>
          <w:rFonts w:ascii="Times New Roman" w:hAnsi="Times New Roman"/>
          <w:sz w:val="24"/>
        </w:rPr>
        <w:t>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Божественною посудиною стриманості,* скарбом благочестя, який неможливо викрасти,* показав ти себе, Йоане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