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священномученика Діонісія Ареопагіта,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Благості навчився і у всьому трезвився,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благим умом священноліпно одягнувшись,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зачерпнув єси від посудини вибраної невимовне,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віру зберігши, рівний біг звершив є</w:t>
      </w:r>
      <w:r>
        <w:rPr>
          <w:rFonts w:ascii="Times New Roman" w:hAnsi="Times New Roman"/>
          <w:color w:val="000000"/>
          <w:sz w:val="24"/>
        </w:rPr>
        <w:t>си,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Діонісію,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Небесні врата пройшовши духом,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учень апостола, який третього неба досяг, Діонісі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невимовним збагатився єси розумом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озорив єси у тьмі невідання сидящих.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</w:t>
      </w:r>
      <w:r>
        <w:rPr>
          <w:rFonts w:ascii="Times New Roman" w:hAnsi="Times New Roman"/>
          <w:color w:val="000000"/>
          <w:sz w:val="24"/>
        </w:rPr>
        <w:t xml:space="preserve"> зовемо: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>адуйся, отче всесвітній.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священномученика Діонісія Ареопагіта,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священномученика Діонісія Ареопагіта,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Благості навчився і у всьому трезвився,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благим умом священноліпно одягнувшись,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зачерпнув єси від посудини вибраної невимовне,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віру зберігши, рівний біг звершив є</w:t>
      </w:r>
      <w:r>
        <w:rPr>
          <w:rFonts w:ascii="Times New Roman" w:hAnsi="Times New Roman"/>
          <w:color w:val="000000"/>
          <w:sz w:val="24"/>
        </w:rPr>
        <w:t>си,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Діонісію,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Небесні врата пройшовши духом,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учень апостола, який третього неба досяг, Діонісі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невимовним збагатився єси розумом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озорив єси у тьмі невідання сидящих.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</w:t>
      </w:r>
      <w:r>
        <w:rPr>
          <w:rFonts w:ascii="Times New Roman" w:hAnsi="Times New Roman"/>
          <w:color w:val="000000"/>
          <w:sz w:val="24"/>
        </w:rPr>
        <w:t xml:space="preserve"> зовемо: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>адуйся, отче всесвітній.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священномученика Діонісія Ареопагіта,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