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мучеників Євлампія і Євлампії,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</w:t>
      </w:r>
      <w:r>
        <w:rPr>
          <w:rFonts w:ascii="Times New Roman" w:hAnsi="Times New Roman"/>
          <w:i/>
          <w:color w:val="FF0000"/>
          <w:sz w:val="24"/>
        </w:rPr>
        <w:t>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Хоробрих мучеників і рідних по плоті,* мудрих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мучеників Євлампія і Євлампії,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мучеників Євлампія і Євлампії,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</w:t>
      </w:r>
      <w:r>
        <w:rPr>
          <w:rFonts w:ascii="Times New Roman" w:hAnsi="Times New Roman"/>
          <w:i/>
          <w:color w:val="FF0000"/>
          <w:sz w:val="24"/>
        </w:rPr>
        <w:t>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Хоробрих мучеників і рідних по плоті,* мудрих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мучеників Євлампія і Євлампії,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