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Іларіона Великого,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</w:t>
      </w:r>
      <w:r>
        <w:rPr>
          <w:rFonts w:ascii="Times New Roman" w:hAnsi="Times New Roman"/>
          <w:sz w:val="24"/>
        </w:rPr>
        <w:t>е наш,* молись за тих, що вшановують пам’ять твою.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</w:t>
      </w:r>
      <w:r>
        <w:rPr>
          <w:rFonts w:ascii="Times New Roman" w:hAnsi="Times New Roman"/>
          <w:sz w:val="24"/>
        </w:rPr>
        <w:t xml:space="preserve">не.* Тому співаємо тобі: радуйся, отче, посників твердине.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Іларіона Великого,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Іларіона Великого,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</w:t>
      </w:r>
      <w:r>
        <w:rPr>
          <w:rFonts w:ascii="Times New Roman" w:hAnsi="Times New Roman"/>
          <w:sz w:val="24"/>
        </w:rPr>
        <w:t>е наш,* молись за тих, що вшановують пам’ять твою.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</w:t>
      </w:r>
      <w:r>
        <w:rPr>
          <w:rFonts w:ascii="Times New Roman" w:hAnsi="Times New Roman"/>
          <w:sz w:val="24"/>
        </w:rPr>
        <w:t xml:space="preserve">не.* Тому співаємо тобі: радуйся, отче, посників твердине.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преподобного отця нашого Іларіона Великого,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