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Світлоносний день настав,* пастирів, єпископів Херсонських, які постраждали за овець і свято яких оспівуємо.* Священномученики, моліть пастиреначальника Христа,* щоб і нас долучив до овець, які по правиці стоять,* щоб співали ми вам:* Радуйтеся, священні </w:t>
      </w:r>
      <w:r>
        <w:rPr>
          <w:rFonts w:ascii="Times New Roman" w:hAnsi="Times New Roman"/>
          <w:sz w:val="24"/>
          <w:highlight w:val="white"/>
        </w:rPr>
        <w:t xml:space="preserve">отці, що за Христа кров свою пролили.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Світлоносний день настав,* пастирів, єпископів Херсонських, які постраждали за овець і свято яких оспівуємо.* Священномученики, моліть пастиреначальника Христа,* щоб і нас долучив до овець, які по правиці стоять,* щоб співали ми вам:* Радуйтеся, священні </w:t>
      </w:r>
      <w:r>
        <w:rPr>
          <w:rFonts w:ascii="Times New Roman" w:hAnsi="Times New Roman"/>
          <w:sz w:val="24"/>
          <w:highlight w:val="white"/>
        </w:rPr>
        <w:t xml:space="preserve">отці, що за Христа кров свою пролили.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