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Паросток божественний, не</w:t>
      </w:r>
      <w:r>
        <w:rPr>
          <w:rFonts w:ascii="Times New Roman" w:hAnsi="Times New Roman"/>
          <w:sz w:val="24"/>
          <w:highlight w:val="white"/>
        </w:rPr>
        <w:t>в’янучий цвіт,* лоза многоплідна, богоносний Савине,* тих, які вірно почитають пам’ять твою,* радістю сповни і молися безупинно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Паросток божественний, не</w:t>
      </w:r>
      <w:r>
        <w:rPr>
          <w:rFonts w:ascii="Times New Roman" w:hAnsi="Times New Roman"/>
          <w:sz w:val="24"/>
          <w:highlight w:val="white"/>
        </w:rPr>
        <w:t>в’янучий цвіт,* лоза многоплідна, богоносний Савине,* тих, які вірно почитають пам’ять твою,* радістю сповни і молися безупинно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