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Прокімен. </w:t>
      </w:r>
      <w:r>
        <w:rPr>
          <w:rFonts w:ascii="Times New Roman" w:hAnsi="Times New Roman"/>
          <w:i/>
          <w:color w:val="FF0000"/>
          <w:sz w:val="24"/>
        </w:rPr>
        <w:t>Псалом 92 (г. 6)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Господь царює,* у велич він зодягнувся.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Вдягнувсь Господь у силу і опоясався.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утвердив вселенну, і вона не захитається.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Домові твоєму, Господи, належить святість на довгі літа.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</w:t>
      </w:r>
      <w:r>
        <w:rPr>
          <w:rFonts w:ascii="Times New Roman" w:hAnsi="Times New Roman"/>
          <w:sz w:val="24"/>
        </w:rPr>
        <w:t>то Життя всіх зазнало смерти?* Бо ти бажав просвітити світ, що кличе й промовляє:* Воскреслий з мертвих, Господи,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1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>
        <w:rPr>
          <w:rFonts w:ascii="Times New Roman" w:hAnsi="Times New Roman"/>
          <w:sz w:val="24"/>
          <w:u w:val="single"/>
        </w:rPr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