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</w:t>
      </w:r>
      <w:r>
        <w:rPr>
          <w:rFonts w:ascii="Times New Roman" w:hAnsi="Times New Roman"/>
          <w:sz w:val="24"/>
          <w:u w:val="single"/>
        </w:rPr>
        <w:t>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133 (г. 8):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Благословіть нині Господа,* всі слуги Господні.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Ви, що стоїте в храмі Господнім, у дворах дому Бога нашого.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Йосиф, полюбивши чистоту, став розподільником пшениці,* а ми, блудні, терпимо голод на діла добрі.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Богородице, прийняла слово архангела* і стала херувимським престолом,* та на руках носила надію душ наших.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