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</w:t>
      </w:r>
      <w:r>
        <w:rPr>
          <w:rFonts w:ascii="Times New Roman" w:hAnsi="Times New Roman"/>
          <w:color w:val="000000"/>
          <w:sz w:val="24"/>
          <w:highlight w:val="white"/>
        </w:rPr>
        <w:t>Веліара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</w:t>
      </w:r>
      <w:r>
        <w:rPr>
          <w:rFonts w:ascii="Times New Roman" w:hAnsi="Times New Roman"/>
          <w:color w:val="000000"/>
          <w:sz w:val="24"/>
          <w:highlight w:val="white"/>
        </w:rPr>
        <w:t>Веліара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