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Серед священиків явився ти священиком Царя і Бога,* богоносний, </w:t>
      </w:r>
      <w:r>
        <w:rPr>
          <w:rFonts w:ascii="Times New Roman" w:hAnsi="Times New Roman"/>
          <w:color w:val="000000"/>
          <w:sz w:val="24"/>
          <w:highlight w:val="white"/>
        </w:rPr>
        <w:t>посникам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Серед священиків явився ти священиком Царя і Бога,* богоносний, </w:t>
      </w:r>
      <w:r>
        <w:rPr>
          <w:rFonts w:ascii="Times New Roman" w:hAnsi="Times New Roman"/>
          <w:color w:val="000000"/>
          <w:sz w:val="24"/>
          <w:highlight w:val="white"/>
        </w:rPr>
        <w:t>посникам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