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color w:val="000000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color w:val="000000"/>
          <w:sz w:val="24"/>
          <w:highlight w:val="white"/>
        </w:rPr>
        <w:tab/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У водах блаженний кінець разом прийняли ви, мудрі,* в них </w:t>
      </w:r>
      <w:r>
        <w:rPr>
          <w:rFonts w:ascii="Times New Roman" w:hAnsi="Times New Roman"/>
          <w:color w:val="000000"/>
          <w:sz w:val="24"/>
          <w:highlight w:val="white"/>
        </w:rPr>
        <w:t>Веліара</w:t>
      </w:r>
      <w:r>
        <w:rPr>
          <w:rFonts w:ascii="Times New Roman" w:hAnsi="Times New Roman"/>
          <w:color w:val="000000"/>
          <w:sz w:val="24"/>
          <w:highlight w:val="white"/>
        </w:rPr>
        <w:t xml:space="preserve"> зануривши благодаттю Бога нашого,* Мученики, тому вінці, як побідоносні, прийнявши,* радуєтеся з ангельськими ликами, з якими і нас поминайте.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color w:val="000000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color w:val="000000"/>
          <w:sz w:val="24"/>
          <w:highlight w:val="white"/>
        </w:rPr>
        <w:tab/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У водах блаженний кінець разом прийняли ви, мудрі,* в них </w:t>
      </w:r>
      <w:r>
        <w:rPr>
          <w:rFonts w:ascii="Times New Roman" w:hAnsi="Times New Roman"/>
          <w:color w:val="000000"/>
          <w:sz w:val="24"/>
          <w:highlight w:val="white"/>
        </w:rPr>
        <w:t>Веліара</w:t>
      </w:r>
      <w:r>
        <w:rPr>
          <w:rFonts w:ascii="Times New Roman" w:hAnsi="Times New Roman"/>
          <w:color w:val="000000"/>
          <w:sz w:val="24"/>
          <w:highlight w:val="white"/>
        </w:rPr>
        <w:t xml:space="preserve"> зануривши благодаттю Бога нашого,* Мученики, тому вінці, як побідоносні, прийнявши,* радуєтеся з ангельськими ликами, з якими і нас поминайте.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