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Зорею живоначальної Тройці обожений, пророче Науме,* нінев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 xml:space="preserve">Життєда́йною доло́нею* уме́рлих із мря́чних доли́н* воскреси́в усі́х </w:t>
      </w:r>
      <w:r>
        <w:rPr>
          <w:rFonts w:ascii="Times New Roman" w:hAnsi="Times New Roman"/>
          <w:sz w:val="24"/>
        </w:rPr>
        <w:t>Життєда́вець</w:t>
      </w:r>
      <w:r>
        <w:rPr>
          <w:rFonts w:ascii="Times New Roman" w:hAnsi="Times New Roman"/>
          <w:sz w:val="24"/>
        </w:rPr>
        <w:t xml:space="preserve">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Зорею живоначальної Тройці обожений, пророче Науме,* нінев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пророка Наума,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