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7EE93D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61FCB40A" w14:textId="72D1C5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Вишні сили наслідуючи, преподобний,* як птах, життя своє прожив, дочасне у забутті відклавши,* безус</w:t>
      </w:r>
      <w:r>
        <w:rPr>
          <w:rFonts w:ascii="Times New Roman" w:hAnsi="Times New Roman"/>
          <w:color w:val="000000"/>
          <w:sz w:val="24"/>
        </w:rPr>
        <w:t>танним бажанням покликаний до небесних доброт Христа Царя,* аж поки й осягнув єси їх, Висаріоне,* тож моли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bookmarkEnd w:id="0"/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Вишні сили наслідуючи, преподобний,* як птах, життя своє прожив, дочасне у забутті відклавши,* безус</w:t>
      </w:r>
      <w:r>
        <w:rPr>
          <w:rFonts w:ascii="Times New Roman" w:hAnsi="Times New Roman"/>
          <w:color w:val="000000"/>
          <w:sz w:val="24"/>
        </w:rPr>
        <w:t>танним бажанням покликаний до небесних доброт Христа Царя,* аж поки й осягнув єси їх, Висаріоне,* тож моли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41F6"/>
    <w:rsid w:val="0013456E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5787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6183</Words>
  <Characters>31580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2023-05-13T03:22:00Z</dcterms:modified>
</cp:coreProperties>
</file>