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3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Святих мучеників Євтропія, Клеоніка й Василиска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highlight w:val="yellow"/>
        </w:rPr>
        <w:t>Богородичний (</w:t>
      </w:r>
      <w:r>
        <w:rPr>
          <w:rFonts w:ascii="Times New Roman" w:hAnsi="Times New Roman"/>
          <w:i/>
          <w:color w:val="FF0000"/>
          <w:sz w:val="24"/>
          <w:highlight w:val="yellow"/>
        </w:rPr>
        <w:t>г. 7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): </w:t>
      </w:r>
      <w:r>
        <w:rPr>
          <w:rFonts w:ascii="Times New Roman" w:hAnsi="Times New Roman"/>
          <w:sz w:val="24"/>
          <w:highlight w:val="yellow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highlight w:val="yellow"/>
        </w:rPr>
        <w:t>Богородичний (</w:t>
      </w:r>
      <w:r>
        <w:rPr>
          <w:rFonts w:ascii="Times New Roman" w:hAnsi="Times New Roman"/>
          <w:i/>
          <w:color w:val="FF0000"/>
          <w:sz w:val="24"/>
          <w:highlight w:val="yellow"/>
        </w:rPr>
        <w:t>г. 7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): </w:t>
      </w:r>
      <w:r>
        <w:rPr>
          <w:rFonts w:ascii="Times New Roman" w:hAnsi="Times New Roman"/>
          <w:sz w:val="24"/>
          <w:highlight w:val="yellow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