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0000"/>
        </w:rPr>
        <w:t xml:space="preserve">Тропар (г. 8): </w:t>
      </w:r>
      <w:r>
        <w:rPr/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Теодота, єпископа Киринейського,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0000"/>
        </w:rPr>
        <w:t xml:space="preserve">Тропар (г. 8): </w:t>
      </w:r>
      <w:r>
        <w:rPr/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Теодота, єпископа Киринейського,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0000"/>
        </w:rPr>
        <w:t xml:space="preserve">Тропар (г. 8): </w:t>
      </w:r>
      <w:r>
        <w:rPr/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Теодота, єпископа Киринейського,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i/>
          <w:color w:val="FF0000"/>
        </w:rPr>
        <w:t xml:space="preserve">Тропар (г. 8): </w:t>
      </w:r>
      <w:r>
        <w:rPr/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Премудрости наставнику, розуму подателю,* немудрих учителю і нищих захиснику,* утверди, врозуми серце моє, Владико.* Ти дай мені слово, Отче Слово,* бо оце устам моїм не забороню, щоб звали Тобі:* Милостивий, помилуй мене, падшого.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Теодота, єпископа Киринейського,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