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AFBE6C" w14:textId="3183AA85" w:rsidR="00E60E72" w:rsidRPr="00E60E72" w:rsidRDefault="00E60E72" w:rsidP="00E60E72">
      <w:pPr>
        <w:rPr>
          <w:rFonts w:ascii="Times New Roman" w:hAnsi="Times New Roman"/>
          <w:sz w:val="24"/>
        </w:rPr>
      </w:pPr>
      <w:r w:rsidRPr="00E60E72">
        <w:rPr>
          <w:rFonts w:ascii="Times New Roman" w:hAnsi="Times New Roman"/>
          <w:i/>
          <w:color w:val="FF0000"/>
          <w:sz w:val="24"/>
        </w:rPr>
        <w:t>Тропар</w:t>
      </w:r>
      <w:r w:rsidR="00971E3F">
        <w:rPr>
          <w:rFonts w:ascii="Times New Roman" w:hAnsi="Times New Roman"/>
          <w:i/>
          <w:color w:val="FF0000"/>
          <w:sz w:val="24"/>
        </w:rPr>
        <w:t xml:space="preserve"> пророцтва</w:t>
      </w:r>
      <w:r w:rsidRPr="00E60E72">
        <w:rPr>
          <w:rFonts w:ascii="Times New Roman" w:hAnsi="Times New Roman"/>
          <w:i/>
          <w:color w:val="FF0000"/>
          <w:sz w:val="24"/>
        </w:rPr>
        <w:t xml:space="preserve"> (г. 5):</w:t>
      </w:r>
      <w:r w:rsidRPr="00E60E72">
        <w:rPr>
          <w:rFonts w:ascii="Times New Roman" w:hAnsi="Times New Roman"/>
          <w:sz w:val="24"/>
        </w:rPr>
        <w:t xml:space="preserve"> Багатогрішне наше життя і непокаянне поводження;* своїми щедротами прийди нам на допомогу, Господи,* бо не знаємо іншого крім Тебе,* що володіє життям і смертю.* Тож, спаси нас, як Чоловіколюбець.</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