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терпінні твоїм отрима</w:t>
      </w:r>
      <w:r>
        <w:rPr>
          <w:rFonts w:ascii="Times New Roman" w:hAnsi="Times New Roman"/>
          <w:sz w:val="24"/>
        </w:rPr>
        <w:t>в ти відплату свою,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отче преподобний,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молитвах безупинно терпівши,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бідних возлюбивши і їх пригостивши,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молися ж Христу Богові, Никифоре милостивий,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Лик патріарший святу твою пам’ять похвалами і піснями,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Никифоре, почитає.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переставленні бо, славний, душу твою прийняв Господь.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днесь чесна церква величаючи тебе, славить Христа царя,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єдиного чоловіколюбця.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терпінні твоїм отрима</w:t>
      </w:r>
      <w:r>
        <w:rPr>
          <w:rFonts w:ascii="Times New Roman" w:hAnsi="Times New Roman"/>
          <w:sz w:val="24"/>
        </w:rPr>
        <w:t>в ти відплату свою,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отче преподобний,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молитвах безупинно терпівши,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бідних возлюбивши і їх пригостивши,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молися ж Христу Богові, Никифоре милостивий,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Лик патріарший святу твою пам’ять похвалами і піснями,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Никифоре, почитає.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переставленні бо, славний, душу твою прийняв Господь.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днесь чесна церква величаючи тебе, славить Христа царя,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єдиного чоловіколюбця.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