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Пішовши за покликом Владики,* як найкращий пастир, поклав ти душу свою за овець Христових, священномученику Антиногене.* Тому й вихваляємо тебе, і з тобою десяток твоїх учнів,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які постраждали, наставлені страхом Божим і твоїм ученням.* Тому Владика вінчає вас життєначальною правицею.* Його ж за всіх нас моліте.</w:t>
      </w:r>
      <w:r>
        <w:rPr>
          <w:rFonts w:ascii="Times New Roman" w:hAnsi="Times New Roman"/>
          <w:sz w:val="24"/>
        </w:rPr>
        <w:t xml:space="preserve">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Пішовши за покликом Владики,* як найкращий пастир, поклав ти душу свою за овець Христових, священномученику Антиногене.* Тому й вихваляємо тебе, і з тобою десяток твоїх учнів,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які постраждали, наставлені страхом Божим і твоїм ученням.* Тому Владика вінчає вас життєначальною правицею.* Його ж за всіх нас моліте.</w:t>
      </w:r>
      <w:r>
        <w:rPr>
          <w:rFonts w:ascii="Times New Roman" w:hAnsi="Times New Roman"/>
          <w:sz w:val="24"/>
        </w:rPr>
        <w:t xml:space="preserve">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