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rFonts w:ascii="Times New Roman" w:hAnsi="Times New Roman"/>
          <w:b/>
          <w:sz w:val="24"/>
        </w:rPr>
        <w:t>Березень 30, Неділя</w:t>
      </w:r>
    </w:p>
    <w:p>
      <w:r>
        <w:rPr>
          <w:rFonts w:ascii="Times New Roman" w:hAnsi="Times New Roman"/>
          <w:sz w:val="24"/>
        </w:rPr>
        <w:t>Неділя 4-ша Великого Посту, преподобного Івана Ліствичника Прп. Івана, автора «Ліствиці»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0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воскре́с із гро́бу, Спа́се сві́ту,* і підня́в люде́й з Твої́м ті́лом.*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Духом натхнені, зберігають передання отецькі про втілення Сина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бояться Господа, що путь життя знайшли, нині й завжди славою нетління прославляться.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:rsidR="00000000" w:rsidDel="00000000" w:rsidP="00000000" w:rsidRDefault="00000000" w:rsidRPr="00000000" w14:paraId="00000285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A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tXC1BORvvsANZE3lngPhCZp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