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BD26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7266AE6" w14:textId="56F02C5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927200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4010F66" w14:textId="0BBFB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249958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97898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CC42DD" w14:textId="5E8D21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 * благим умом священноліпно одягнувшись, * зачерпнув єси від посудини вибраної невимовне, * і віру зберігши, рівний біг звершив єси, священномучениче Діонісію, * моли Христа Бога, щоб спаслися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D8D0A7" w14:textId="2F9F8F7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Небесні врата пройшовши духом, * як учень апостола, який третього неба досяг, Діонісі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 * невимовним збагатився єси розумом * і озорив єси у тьмі невідання сидящих. * Тому зовемо: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>адуйся, отче всесвітній.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B9C8F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8EDD0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1BB0C11" w14:textId="25E85E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075065E" w14:textId="5786E1A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12F9C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A4F6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25FD8D9" w14:textId="1B07A39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Благості навчився і у всьому трезвився, * благим умом священноліпно одягнувшись, * зачерпнув єси від посудини вибраної невимовне, * і віру зберігши, рівний біг звершив єси, священномучениче Діонісію, * моли Христа Бога, щоб спаслися душі наші.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520C9A5" w14:textId="415EFA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color w:val="000000"/>
          <w:sz w:val="24"/>
        </w:rPr>
        <w:t xml:space="preserve"> Небесні врата пройшовши духом, * як учень апостола, який третього неба досяг, Діонісі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 xml:space="preserve">, * невимовним збагатився єси розумом * і озорив єси у тьмі невідання сидящих. * Тому зовемо: </w:t>
      </w:r>
      <w:r>
        <w:rPr>
          <w:rFonts w:ascii="Times New Roman" w:hAnsi="Times New Roman"/>
          <w:sz w:val="24"/>
        </w:rPr>
        <w:t>Р</w:t>
      </w:r>
      <w:r>
        <w:rPr>
          <w:rFonts w:ascii="Times New Roman" w:hAnsi="Times New Roman"/>
          <w:color w:val="000000"/>
          <w:sz w:val="24"/>
        </w:rPr>
        <w:t>адуйся, отче всесвітній.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CFA3C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