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3):</w:t>
      </w:r>
      <w:r>
        <w:rPr>
          <w:color w:val="FF0000"/>
        </w:rPr>
        <w:t xml:space="preserve"> </w:t>
      </w:r>
      <w:r>
        <w:rPr>
          <w:color w:val="000000"/>
        </w:rPr>
        <w:t>Апостоли святі, моліть милостивого Бога,* щоб відпущення прогрішень подав душам нашим.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FF0000"/>
        </w:rPr>
        <w:t xml:space="preserve"> </w:t>
      </w:r>
      <w:r>
        <w:rPr>
          <w:color w:val="000000"/>
        </w:rPr>
        <w:t>Як священні скарби всесвятого Духа* і сонця сяючої слави,* гідно оспіваймо мудрих апостолів Апеллія, Урвана й Аристовула,* Амплія, Наркисса і Стахія,* що прийняли благодать Бога нашого.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>Мученик Твій, Господи, Єпімах*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>
          <w:color w:val="000000"/>
        </w:rPr>
        <w:t xml:space="preserve">Живим стовпом, свідком істини був ти,* у стражданнях невидимих ворогів переміг,* через видимих мучителів, найстаранніший, від Христа вінець прийняв.* Тому кличемо до Тебе:* не переставай молитися за нас, славний, і дарувати нам велику милість.  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