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>
          <w:color w:val="FF0000"/>
        </w:rPr>
        <w:t xml:space="preserve"> </w:t>
      </w:r>
      <w:r>
        <w:rPr>
          <w:color w:val="000000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>
          <w:color w:val="000000"/>
        </w:rPr>
        <w:t xml:space="preserve">Тебе, як світильника незахідного духовного Сонця,* зійшовшись сьогодні, вихваляємо в піснях.* Бо засяяв ти тим, що у темряві незнання перебували,* все підносячи на Божественну висоту, Іларіоне.* Тому співаємо тобі: радуйся, отче, посників твердине. 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>
          <w:color w:val="FF0000"/>
        </w:rPr>
        <w:t xml:space="preserve"> </w:t>
      </w:r>
      <w:r>
        <w:rPr>
          <w:color w:val="000000"/>
        </w:rPr>
        <w:t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>
          <w:color w:val="000000"/>
        </w:rPr>
        <w:t xml:space="preserve">Тебе, як світильника незахідного духовного Сонця,* зійшовшись сьогодні, вихваляємо в піснях.* Бо засяяв ти тим, що у темряві незнання перебували,* все підносячи на Божественну висоту, Іларіоне.* Тому співаємо тобі: радуйся, отче, посників твердине. 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