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Кондак (г. 4)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I звичаїв апостол</w:t>
      </w:r>
      <w:r>
        <w:rPr>
          <w:rFonts w:ascii="Times New Roman" w:hAnsi="Times New Roman"/>
          <w:sz w:val="24"/>
        </w:rPr>
        <w:t>ів причасником і їх намісником стався ти,* знайшов ти шлях, богонатхненний, як дійти до видіння.* Задля того слово істини справляючи,* і задля віри пострадав ти аж до крови, священномученику Артемоне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 Христа Бога, щоб спаслися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Наслідуючи священні ісповідання,* і закінчивши життя як мученик, на небеса піднявся ти, Артемоне мудрий,* і прийняв від Бога вінець нев’янучий.* Тому святу твою пам’ять святкуємо, взиваючи:* пом’яни нас, Священномученику,* що стоїш перед Христом.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30EE6"/>
    <w:rsid w:val="0094003F"/>
    <w:rsid w:val="00985AEB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17</Pages>
  <Words>6228</Words>
  <Characters>31607</Characters>
  <Application>Microsoft Office Word</Application>
  <DocSecurity>0</DocSecurity>
  <Lines>263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2023-03-29T10:08:00Z</dcterms:modified>
</cp:coreProperties>
</file>