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Пророче і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різдвом* – і </w:t>
      </w:r>
      <w:r>
        <w:rPr>
          <w:rFonts w:ascii="Times New Roman" w:hAnsi="Times New Roman"/>
          <w:sz w:val="24"/>
        </w:rPr>
        <w:t>воплочення</w:t>
      </w:r>
      <w:r>
        <w:rPr>
          <w:rFonts w:ascii="Times New Roman" w:hAnsi="Times New Roman"/>
          <w:sz w:val="24"/>
        </w:rPr>
        <w:t xml:space="preserve"> Сина Божого світові проповідується.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Пророче і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різдвом* – і </w:t>
      </w:r>
      <w:r>
        <w:rPr>
          <w:rFonts w:ascii="Times New Roman" w:hAnsi="Times New Roman"/>
          <w:sz w:val="24"/>
        </w:rPr>
        <w:t>воплочення</w:t>
      </w:r>
      <w:r>
        <w:rPr>
          <w:rFonts w:ascii="Times New Roman" w:hAnsi="Times New Roman"/>
          <w:sz w:val="24"/>
        </w:rPr>
        <w:t xml:space="preserve"> Сина Божого світові проповідується.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Пророче і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різдвом* – і </w:t>
      </w:r>
      <w:r>
        <w:rPr>
          <w:rFonts w:ascii="Times New Roman" w:hAnsi="Times New Roman"/>
          <w:sz w:val="24"/>
        </w:rPr>
        <w:t>воплочення</w:t>
      </w:r>
      <w:r>
        <w:rPr>
          <w:rFonts w:ascii="Times New Roman" w:hAnsi="Times New Roman"/>
          <w:sz w:val="24"/>
        </w:rPr>
        <w:t xml:space="preserve"> Сина Божого світові проповідується.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Пророче і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різдвом* – і </w:t>
      </w:r>
      <w:r>
        <w:rPr>
          <w:rFonts w:ascii="Times New Roman" w:hAnsi="Times New Roman"/>
          <w:sz w:val="24"/>
        </w:rPr>
        <w:t>воплочення</w:t>
      </w:r>
      <w:r>
        <w:rPr>
          <w:rFonts w:ascii="Times New Roman" w:hAnsi="Times New Roman"/>
          <w:sz w:val="24"/>
        </w:rPr>
        <w:t xml:space="preserve"> Сина Божого світові проповідується.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