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000000"/>
          <w:sz w:val="24"/>
        </w:rPr>
        <w:t xml:space="preserve"> Вишні сили наслідуючи, преподобний,* як птах, життя своє прожив, дочасне у забутті відклавши,* безус</w:t>
      </w:r>
      <w:r>
        <w:rPr>
          <w:rFonts w:ascii="Times New Roman" w:hAnsi="Times New Roman"/>
          <w:color w:val="000000"/>
          <w:sz w:val="24"/>
        </w:rPr>
        <w:t>танним бажанням покликаний до небесних доброт Христа Царя,* аж поки й осягнув єси їх, Висаріоне,* тож моли неустанно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000000"/>
          <w:sz w:val="24"/>
        </w:rPr>
        <w:t xml:space="preserve"> Вишні сили наслідуючи, преподобний,* як птах, життя своє прожив, дочасне у забутті відклавши,* безус</w:t>
      </w:r>
      <w:r>
        <w:rPr>
          <w:rFonts w:ascii="Times New Roman" w:hAnsi="Times New Roman"/>
          <w:color w:val="000000"/>
          <w:sz w:val="24"/>
        </w:rPr>
        <w:t>танним бажанням покликаний до небесних доброт Христа Царя,* аж поки й осягнув єси їх, Висаріоне,* тож моли неустанно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