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Вірою Христовою уражені,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себлаженні</w:t>
      </w:r>
      <w:r>
        <w:rPr>
          <w:rFonts w:ascii="Times New Roman" w:hAnsi="Times New Roman"/>
          <w:color w:val="000000"/>
          <w:sz w:val="24"/>
        </w:rPr>
        <w:t xml:space="preserve">, і вірно її чашу </w:t>
      </w:r>
      <w:r>
        <w:rPr>
          <w:rFonts w:ascii="Times New Roman" w:hAnsi="Times New Roman"/>
          <w:sz w:val="24"/>
        </w:rPr>
        <w:t>випивши</w:t>
      </w:r>
      <w:r>
        <w:rPr>
          <w:rFonts w:ascii="Times New Roman" w:hAnsi="Times New Roman"/>
          <w:color w:val="000000"/>
          <w:sz w:val="24"/>
        </w:rPr>
        <w:t>,* перські служіння і нахабство зруйнували, рівночисленні Тройці,* і мо́литеся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Вірою Христовою уражені,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себлаженні</w:t>
      </w:r>
      <w:r>
        <w:rPr>
          <w:rFonts w:ascii="Times New Roman" w:hAnsi="Times New Roman"/>
          <w:color w:val="000000"/>
          <w:sz w:val="24"/>
        </w:rPr>
        <w:t xml:space="preserve">, і вірно її чашу </w:t>
      </w:r>
      <w:r>
        <w:rPr>
          <w:rFonts w:ascii="Times New Roman" w:hAnsi="Times New Roman"/>
          <w:sz w:val="24"/>
        </w:rPr>
        <w:t>випивши</w:t>
      </w:r>
      <w:r>
        <w:rPr>
          <w:rFonts w:ascii="Times New Roman" w:hAnsi="Times New Roman"/>
          <w:color w:val="000000"/>
          <w:sz w:val="24"/>
        </w:rPr>
        <w:t>,* перські служіння і нахабство зруйнували, рівночисленні Тройці,* і мо́литеся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