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1):</w:t>
      </w:r>
      <w:r w:rsidDel="00000000" w:rsidR="00000000" w:rsidRPr="00000000">
        <w:rPr>
          <w:rFonts w:ascii="Times New Roman" w:hAnsi="Times New Roman"/>
          <w:sz w:val="24"/>
          <w:rtl w:val="0"/>
        </w:rPr>
        <w:t xml:space="preserve"> 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Людинолю́бець.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Людинолю́бець.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i w:val="1"/>
          <w:color w:val="ff0000"/>
          <w:sz w:val="24"/>
          <w:rtl w:val="0"/>
        </w:rPr>
        <w:t xml:space="preserve">(гл. 1, самоподібний):</w:t>
      </w:r>
      <w:r w:rsidDel="00000000" w:rsidR="00000000" w:rsidRPr="00000000">
        <w:rPr>
          <w:rFonts w:ascii="Times New Roman" w:hAnsi="Times New Roman"/>
          <w:sz w:val="24"/>
          <w:rtl w:val="0"/>
        </w:rPr>
        <w:t xml:space="preserve"> Всехва́льнії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(гл. 3, подібний «Велія Креста»):</w:t>
      </w:r>
      <w:r w:rsidDel="00000000" w:rsidR="00000000" w:rsidRPr="00000000">
        <w:rPr>
          <w:rFonts w:ascii="Times New Roman" w:hAnsi="Times New Roman"/>
          <w:sz w:val="24"/>
          <w:rtl w:val="0"/>
        </w:rPr>
        <w:t xml:space="preserve"> Боже́ственних Апо́столів, Го́споди, моліннями * сподо́би нас постови́й час * у скру́сі по́мислу до́бре зверши́ти, * як Благи́й і Осере́ддя бла́га, * щоб ми, спаса́ючись, * Тебе́ прославля́ли всі.</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Вели́ке і страшне́ бу́де Твоє́, Го́споди, прише́стя, * коли́, возсівши, Ти суд пра́ведний зверши́ш! * Не осуди́ мене́, осужде́нного, * але́, як Бог, пощади́ мене́, * Апо́столів Твоїх * благоприє́мними моли́твами.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Христо́ві Апо́столи, * земля́нам світи́ла, * скарби́, що світ збага́чуєте всему́дрим знання́м Бога́ на́шого, * ва́ших співців од споку́с ізба́вте * святи́ми ва́шими моли́твами, * і допоможіть нам по́сту час провести́ ю́но, * спрямо́вуючи в ми́рі життя́ на́ше, * щоб ми на благовго́дному передпу́тті Страсте́й Христо́вих * зі сміли́вістю прино́сили співи * Бо́гові на́шому.</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3">
      <w:pPr>
        <w:jc w:val="both"/>
        <w:rPr/>
      </w:pPr>
      <w:r w:rsidDel="00000000" w:rsidR="00000000" w:rsidRPr="00000000">
        <w:rPr>
          <w:rFonts w:ascii="Times New Roman" w:hAnsi="Times New Roman"/>
          <w:i w:val="1"/>
          <w:color w:val="ff0000"/>
          <w:sz w:val="24"/>
          <w:rtl w:val="0"/>
        </w:rPr>
        <w:t xml:space="preserve">Прокімен, глас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Веселітеся у Го́споді і ра́дуйтеся, пра́ведні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31,11</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4">
      <w:pPr>
        <w:jc w:val="both"/>
        <w:rPr>
          <w:color w:val="ff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Блаже́нні, кому́ про́щено беззако́ння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31,1</w:t>
      </w:r>
      <w:r w:rsidDel="00000000" w:rsidR="00000000" w:rsidRPr="00000000">
        <w:rPr>
          <w:rFonts w:ascii="Times New Roman" w:hAnsi="Times New Roman"/>
          <w:color w:val="ff0000"/>
          <w:sz w:val="24"/>
          <w:rtl w:val="0"/>
        </w:rPr>
        <w:t xml:space="preserve">).</w:t>
      </w:r>
    </w:p>
    <w:p w:rsidR="00000000" w:rsidDel="00000000" w:rsidP="00000000" w:rsidRDefault="00000000" w:rsidRPr="00000000" w14:paraId="00000135">
      <w:pPr>
        <w:jc w:val="both"/>
        <w:rPr/>
      </w:pPr>
      <w:r w:rsidDel="00000000" w:rsidR="00000000" w:rsidRPr="00000000">
        <w:rPr>
          <w:rFonts w:ascii="Times New Roman" w:hAnsi="Times New Roman"/>
          <w:sz w:val="24"/>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widowControl w:val="0"/>
        <w:spacing w:after="120" w:lineRule="auto"/>
        <w:jc w:val="both"/>
        <w:rPr>
          <w:i w:val="1"/>
          <w:color w:val="ff0000"/>
        </w:rPr>
      </w:pPr>
      <w:r w:rsidDel="00000000" w:rsidR="00000000" w:rsidRPr="00000000">
        <w:rPr>
          <w:rFonts w:ascii="Times New Roman" w:hAnsi="Times New Roman"/>
          <w:sz w:val="24"/>
          <w:rtl w:val="0"/>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 </w:t>
      </w:r>
      <w:r w:rsidDel="00000000" w:rsidR="00000000" w:rsidRPr="00000000">
        <w:rPr>
          <w:rFonts w:ascii="Times New Roman" w:hAnsi="Times New Roman"/>
          <w:i w:val="1"/>
          <w:color w:val="ff0000"/>
          <w:sz w:val="24"/>
          <w:rtl w:val="0"/>
        </w:rPr>
        <w:t xml:space="preserve">(Бут. 4:16-26).</w:t>
      </w:r>
    </w:p>
    <w:p w:rsidR="00000000" w:rsidDel="00000000" w:rsidP="00000000" w:rsidRDefault="00000000" w:rsidRPr="00000000" w14:paraId="0000013B">
      <w:pPr>
        <w:widowControl w:val="0"/>
        <w:spacing w:after="120" w:lineRule="auto"/>
        <w:rPr/>
      </w:pPr>
      <w:r w:rsidDel="00000000" w:rsidR="00000000" w:rsidRPr="00000000">
        <w:rPr>
          <w:rFonts w:ascii="Times New Roman" w:hAnsi="Times New Roman"/>
          <w:i w:val="1"/>
          <w:color w:val="ff0000"/>
          <w:sz w:val="24"/>
          <w:rtl w:val="0"/>
        </w:rPr>
        <w:t xml:space="preserve">Прокімен, глас 1:</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 Го́споди, ми́лість Твоя́ на нас, бо упова́ли ми на Те́бе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32,22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Ра́дуйтеся, пра́ведні, у Го́споді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hAnsi="Times New Roman"/>
          <w:sz w:val="24"/>
          <w:rtl w:val="0"/>
        </w:rPr>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w:t>
      </w:r>
      <w:r w:rsidDel="00000000" w:rsidR="00000000" w:rsidRPr="00000000">
        <w:rPr>
          <w:rFonts w:ascii="Times New Roman" w:hAnsi="Times New Roman"/>
          <w:i w:val="1"/>
          <w:color w:val="ff0000"/>
          <w:sz w:val="24"/>
          <w:rtl w:val="0"/>
        </w:rPr>
        <w:t xml:space="preserve">(Прип. 5:15-6:3).</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перенесення мощів святого отця нашого Никифора, патріарха Царгородського,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ZnjH6EteDeUiUenFaTQdulfvKw==">CgMxLjA4AHIhMWpoWjByRmhsX25CNU4yd0ZFc3R3ZnFHejRrSFJ4Nmp6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