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</w:t>
      </w:r>
      <w:r>
        <w:rPr>
          <w:rFonts w:ascii="Times New Roman" w:hAnsi="Times New Roman"/>
          <w:sz w:val="24"/>
          <w:u w:val="single"/>
        </w:rPr>
        <w:t>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>
        <w:rPr>
          <w:rFonts w:ascii="Times New Roman" w:hAnsi="Times New Roman"/>
          <w:sz w:val="24"/>
        </w:rPr>
        <w:t>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>
        <w:rPr>
          <w:rFonts w:ascii="Times New Roman" w:hAnsi="Times New Roman"/>
          <w:sz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Нині сповнилось пророче слово:* Ось бо поклоняємось на місці,* де стояли твої ноги, Госп</w:t>
      </w:r>
      <w:r>
        <w:rPr>
          <w:rFonts w:ascii="Times New Roman" w:hAnsi="Times New Roman"/>
          <w:sz w:val="24"/>
        </w:rPr>
        <w:t>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</w:t>
      </w:r>
      <w:r>
        <w:rPr>
          <w:rFonts w:ascii="Times New Roman" w:hAnsi="Times New Roman"/>
          <w:sz w:val="24"/>
          <w:u w:val="single"/>
        </w:rPr>
        <w:t>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Душе, вставай і бадьорися в молитві, та в усякому</w:t>
      </w:r>
      <w:r>
        <w:rPr>
          <w:rFonts w:ascii="Times New Roman" w:hAnsi="Times New Roman"/>
          <w:sz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>
        <w:rPr>
          <w:rFonts w:ascii="Times New Roman" w:hAnsi="Times New Roman"/>
          <w:sz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</w:t>
      </w:r>
      <w:r>
        <w:rPr>
          <w:rFonts w:ascii="Times New Roman" w:hAnsi="Times New Roman"/>
          <w:sz w:val="24"/>
          <w:u w:val="single"/>
        </w:rPr>
        <w:t xml:space="preserve">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Коли свого Агнця* Агниця </w:t>
      </w:r>
      <w:r>
        <w:rPr>
          <w:rFonts w:ascii="Times New Roman" w:hAnsi="Times New Roman"/>
          <w:sz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>
        <w:rPr>
          <w:rFonts w:ascii="Times New Roman" w:hAnsi="Times New Roman"/>
          <w:sz w:val="24"/>
        </w:rPr>
        <w:t>ю твоє, Спасе, несказанне упокорення.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