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>
        <w:rPr>
          <w:rFonts w:ascii="Times New Roman" w:hAnsi="Times New Roman"/>
          <w:sz w:val="24"/>
        </w:rPr>
        <w:t>Радуйся, кивоте!* Радуйся, ручко всезолота!* Радуйся, всіх уповання!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>
        <w:rPr>
          <w:rFonts w:ascii="Times New Roman" w:hAnsi="Times New Roman"/>
          <w:sz w:val="24"/>
        </w:rPr>
        <w:t>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Покров твій, Богородице Діво,* є ліком духовним.* Приймаючи його, спасаємося від недуг душевних.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